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7F42" w14:textId="131E53E7" w:rsidR="0095113E" w:rsidRPr="00D427E2" w:rsidRDefault="00C7272A" w:rsidP="00E80045">
      <w:pPr>
        <w:pStyle w:val="ISLH-Title"/>
        <w:rPr>
          <w:b w:val="0"/>
          <w:bCs w:val="0"/>
        </w:rPr>
      </w:pPr>
      <w:r w:rsidRPr="00D427E2">
        <w:rPr>
          <w:b w:val="0"/>
          <w:bCs w:val="0"/>
          <w:sz w:val="44"/>
          <w:szCs w:val="44"/>
        </w:rPr>
        <w:t>Manuscript</w:t>
      </w:r>
      <w:r w:rsidR="00E80045" w:rsidRPr="00D427E2">
        <w:rPr>
          <w:b w:val="0"/>
          <w:bCs w:val="0"/>
          <w:sz w:val="44"/>
          <w:szCs w:val="44"/>
        </w:rPr>
        <w:t xml:space="preserve"> Pre</w:t>
      </w:r>
      <w:r w:rsidR="008E5319">
        <w:rPr>
          <w:b w:val="0"/>
          <w:bCs w:val="0"/>
          <w:sz w:val="44"/>
          <w:szCs w:val="44"/>
        </w:rPr>
        <w:t>paration Guidelines for ISLH20</w:t>
      </w:r>
      <w:r w:rsidR="00434FAA">
        <w:rPr>
          <w:b w:val="0"/>
          <w:bCs w:val="0"/>
          <w:sz w:val="44"/>
          <w:szCs w:val="44"/>
        </w:rPr>
        <w:t>2</w:t>
      </w:r>
      <w:r w:rsidR="00DB7851">
        <w:rPr>
          <w:b w:val="0"/>
          <w:bCs w:val="0"/>
          <w:sz w:val="44"/>
          <w:szCs w:val="44"/>
        </w:rPr>
        <w:t>4</w:t>
      </w:r>
    </w:p>
    <w:p w14:paraId="6AB27F43" w14:textId="77777777" w:rsidR="00E5438A" w:rsidRPr="00E5438A" w:rsidRDefault="00E5438A" w:rsidP="00E5438A">
      <w:pPr>
        <w:pStyle w:val="ISLH-Content"/>
      </w:pPr>
    </w:p>
    <w:p w14:paraId="6AB27F44" w14:textId="77777777" w:rsidR="00E80045" w:rsidRPr="00D427E2" w:rsidRDefault="00C24B38" w:rsidP="00E80045">
      <w:pPr>
        <w:pStyle w:val="ISLH-Author"/>
      </w:pPr>
      <w:r w:rsidRPr="00D427E2">
        <w:t>First A. Author, Second B. Author and Third</w:t>
      </w:r>
      <w:r w:rsidR="00D427E2" w:rsidRPr="00D427E2">
        <w:t xml:space="preserve"> C. Author</w:t>
      </w:r>
    </w:p>
    <w:p w14:paraId="6AB27F45" w14:textId="77777777" w:rsidR="00E5438A" w:rsidRPr="00E5438A" w:rsidRDefault="00E5438A" w:rsidP="00E5438A">
      <w:pPr>
        <w:pStyle w:val="ISLH-Affiliate"/>
      </w:pPr>
    </w:p>
    <w:p w14:paraId="6AB27F46" w14:textId="77777777" w:rsidR="00D427E2" w:rsidRDefault="00434FAA" w:rsidP="00D427E2">
      <w:pPr>
        <w:pStyle w:val="ISLH-Affiliate"/>
      </w:pPr>
      <w:r>
        <w:t>School</w:t>
      </w:r>
      <w:r w:rsidR="00931D5B">
        <w:t xml:space="preserve"> of Engineering, </w:t>
      </w:r>
      <w:r w:rsidR="00D427E2">
        <w:t xml:space="preserve">King Mongkut Institute of Technology Ladkrabang </w:t>
      </w:r>
    </w:p>
    <w:p w14:paraId="6AB27F47" w14:textId="77777777" w:rsidR="00D427E2" w:rsidRDefault="00D427E2" w:rsidP="00D427E2">
      <w:pPr>
        <w:pStyle w:val="ISLH-Affiliate"/>
      </w:pPr>
      <w:r>
        <w:t xml:space="preserve">1 Soi </w:t>
      </w:r>
      <w:proofErr w:type="spellStart"/>
      <w:r>
        <w:t>Chalongkung</w:t>
      </w:r>
      <w:proofErr w:type="spellEnd"/>
      <w:r>
        <w:t xml:space="preserve"> 1 Ladkrabang Bangkok 10520 Thailand</w:t>
      </w:r>
    </w:p>
    <w:p w14:paraId="6AB27F48" w14:textId="77777777" w:rsidR="00931D5B" w:rsidRPr="00D427E2" w:rsidRDefault="00BB24A2" w:rsidP="00D427E2">
      <w:pPr>
        <w:pStyle w:val="ISLH-Affiliate"/>
        <w:rPr>
          <w:i/>
          <w:iCs/>
          <w:color w:val="000000" w:themeColor="text1"/>
        </w:rPr>
      </w:pPr>
      <w:hyperlink r:id="rId8" w:history="1">
        <w:r w:rsidR="00C82EFA" w:rsidRPr="00D427E2">
          <w:rPr>
            <w:rStyle w:val="Hyperlink"/>
            <w:i/>
            <w:iCs/>
            <w:color w:val="000000" w:themeColor="text1"/>
            <w:u w:val="none"/>
          </w:rPr>
          <w:t>E-mail</w:t>
        </w:r>
      </w:hyperlink>
      <w:r w:rsidR="00D427E2" w:rsidRPr="00D427E2">
        <w:rPr>
          <w:rStyle w:val="Hyperlink"/>
          <w:i/>
          <w:iCs/>
          <w:color w:val="000000" w:themeColor="text1"/>
          <w:u w:val="none"/>
        </w:rPr>
        <w:t xml:space="preserve"> address if desired</w:t>
      </w:r>
    </w:p>
    <w:p w14:paraId="6AB27F49" w14:textId="77777777" w:rsidR="001F133E" w:rsidRDefault="001F133E" w:rsidP="00931D5B">
      <w:pPr>
        <w:pStyle w:val="ISLH-Affiliate"/>
        <w:rPr>
          <w:vertAlign w:val="superscript"/>
        </w:rPr>
      </w:pPr>
    </w:p>
    <w:p w14:paraId="6AB27F4A" w14:textId="77777777" w:rsidR="00D427E2" w:rsidRDefault="00D427E2" w:rsidP="00931D5B">
      <w:pPr>
        <w:pStyle w:val="ISLH-Affiliate"/>
      </w:pPr>
    </w:p>
    <w:p w14:paraId="6AB27F4B" w14:textId="77777777" w:rsidR="00645C40" w:rsidRDefault="00645C40" w:rsidP="00931D5B">
      <w:pPr>
        <w:pStyle w:val="ISLH-Affiliate"/>
        <w:sectPr w:rsidR="00645C40" w:rsidSect="00434FAA">
          <w:headerReference w:type="default" r:id="rId9"/>
          <w:pgSz w:w="11906" w:h="16838"/>
          <w:pgMar w:top="1440" w:right="1191" w:bottom="1644" w:left="1191" w:header="360" w:footer="709" w:gutter="0"/>
          <w:cols w:space="708"/>
          <w:docGrid w:linePitch="360"/>
        </w:sectPr>
      </w:pPr>
    </w:p>
    <w:p w14:paraId="6AB27F4C" w14:textId="77777777" w:rsidR="001F133E" w:rsidRDefault="001F133E" w:rsidP="001F133E">
      <w:pPr>
        <w:pStyle w:val="ISLH-Section"/>
      </w:pPr>
      <w:r>
        <w:t>Abstract</w:t>
      </w:r>
    </w:p>
    <w:p w14:paraId="6AB27F4D" w14:textId="6C706DDD" w:rsidR="001F133E" w:rsidRDefault="00825096" w:rsidP="00DB4543">
      <w:pPr>
        <w:pStyle w:val="ISLH-Content"/>
        <w:ind w:firstLine="360"/>
      </w:pPr>
      <w:r w:rsidRPr="002C5BC6">
        <w:t xml:space="preserve">This </w:t>
      </w:r>
      <w:r w:rsidR="00545620" w:rsidRPr="002C5BC6">
        <w:t>document</w:t>
      </w:r>
      <w:r w:rsidRPr="002C5BC6">
        <w:t xml:space="preserve"> explains and demonstrates how to </w:t>
      </w:r>
      <w:r w:rsidR="00C7272A" w:rsidRPr="002C5BC6">
        <w:t>prepare your</w:t>
      </w:r>
      <w:r w:rsidRPr="002C5BC6">
        <w:t xml:space="preserve"> </w:t>
      </w:r>
      <w:r w:rsidR="00BB24A2" w:rsidRPr="002C5BC6">
        <w:t>camera-ready</w:t>
      </w:r>
      <w:r w:rsidRPr="002C5BC6">
        <w:t xml:space="preserve"> </w:t>
      </w:r>
      <w:r w:rsidR="00C7272A" w:rsidRPr="002C5BC6">
        <w:t>manuscript</w:t>
      </w:r>
      <w:r w:rsidRPr="002C5BC6">
        <w:t xml:space="preserve"> for the </w:t>
      </w:r>
      <w:r w:rsidR="00DB7851">
        <w:t>8</w:t>
      </w:r>
      <w:r w:rsidR="00EF3868" w:rsidRPr="00EF3868">
        <w:rPr>
          <w:rFonts w:cstheme="minorBidi"/>
          <w:vertAlign w:val="superscript"/>
        </w:rPr>
        <w:t>t</w:t>
      </w:r>
      <w:r w:rsidR="00C82EFA">
        <w:rPr>
          <w:rFonts w:cstheme="minorBidi"/>
          <w:vertAlign w:val="superscript"/>
        </w:rPr>
        <w:t>h</w:t>
      </w:r>
      <w:r w:rsidR="00EF3868">
        <w:rPr>
          <w:rFonts w:cstheme="minorBidi"/>
        </w:rPr>
        <w:t xml:space="preserve"> The Symposium on Lightning and Hi</w:t>
      </w:r>
      <w:r w:rsidR="00C82EFA">
        <w:rPr>
          <w:rFonts w:cstheme="minorBidi"/>
        </w:rPr>
        <w:t>gh Voltage Engineering (ISLH20</w:t>
      </w:r>
      <w:r w:rsidR="00434FAA">
        <w:rPr>
          <w:rFonts w:cstheme="minorBidi"/>
        </w:rPr>
        <w:t>2</w:t>
      </w:r>
      <w:r w:rsidR="00DB7851">
        <w:rPr>
          <w:rFonts w:cstheme="minorBidi"/>
        </w:rPr>
        <w:t>4</w:t>
      </w:r>
      <w:r w:rsidR="00EF3868">
        <w:rPr>
          <w:rFonts w:cstheme="minorBidi"/>
        </w:rPr>
        <w:t>)</w:t>
      </w:r>
      <w:r w:rsidR="00545620" w:rsidRPr="002C5BC6">
        <w:t xml:space="preserve">. </w:t>
      </w:r>
      <w:r w:rsidR="00C40F17" w:rsidRPr="002C5BC6">
        <w:t xml:space="preserve">Your </w:t>
      </w:r>
      <w:r w:rsidR="00C7272A" w:rsidRPr="002C5BC6">
        <w:t>manuscript</w:t>
      </w:r>
      <w:r w:rsidR="00C40F17" w:rsidRPr="002C5BC6">
        <w:t xml:space="preserve"> will appear exactly the same as it is received. </w:t>
      </w:r>
      <w:r w:rsidR="00545620" w:rsidRPr="002C5BC6">
        <w:t>Please read the guidelines and foll</w:t>
      </w:r>
      <w:r w:rsidR="0008785D" w:rsidRPr="002C5BC6">
        <w:t>ow the instructions in this text</w:t>
      </w:r>
      <w:r w:rsidR="00545620" w:rsidRPr="002C5BC6">
        <w:t>. For the MS-Word 20</w:t>
      </w:r>
      <w:r w:rsidR="00434FAA">
        <w:t>13</w:t>
      </w:r>
      <w:r w:rsidR="00545620" w:rsidRPr="002C5BC6">
        <w:t xml:space="preserve"> users, the best is to use the pre-defined components found in this template.</w:t>
      </w:r>
    </w:p>
    <w:p w14:paraId="6AB27F4E" w14:textId="77777777" w:rsidR="002C5BC6" w:rsidRPr="002C5BC6" w:rsidRDefault="002C5BC6" w:rsidP="00235300">
      <w:pPr>
        <w:pStyle w:val="ISLH-Content"/>
        <w:ind w:firstLine="357"/>
      </w:pPr>
    </w:p>
    <w:p w14:paraId="6AB27F4F" w14:textId="77777777" w:rsidR="00545620" w:rsidRDefault="00545620" w:rsidP="001F133E">
      <w:pPr>
        <w:pStyle w:val="ISLH-Content"/>
      </w:pPr>
      <w:r>
        <w:rPr>
          <w:b/>
          <w:bCs/>
        </w:rPr>
        <w:t xml:space="preserve">Keywords: </w:t>
      </w:r>
      <w:r w:rsidR="00C7272A">
        <w:t>manuscript</w:t>
      </w:r>
      <w:r>
        <w:t xml:space="preserve"> format, </w:t>
      </w:r>
      <w:r w:rsidR="00C7272A">
        <w:t>manuscript</w:t>
      </w:r>
      <w:r w:rsidR="0008785D">
        <w:t xml:space="preserve"> guidelines, text style</w:t>
      </w:r>
    </w:p>
    <w:p w14:paraId="6AB27F50" w14:textId="77777777" w:rsidR="00E5438A" w:rsidRDefault="00E5438A" w:rsidP="001F133E">
      <w:pPr>
        <w:pStyle w:val="ISLH-Content"/>
      </w:pPr>
    </w:p>
    <w:p w14:paraId="6AB27F51" w14:textId="77777777" w:rsidR="0008785D" w:rsidRDefault="0008785D" w:rsidP="0008785D">
      <w:pPr>
        <w:pStyle w:val="ISLH-Section"/>
        <w:numPr>
          <w:ilvl w:val="0"/>
          <w:numId w:val="2"/>
        </w:numPr>
      </w:pPr>
      <w:r>
        <w:t>General Information</w:t>
      </w:r>
    </w:p>
    <w:p w14:paraId="6AB27F52" w14:textId="77777777" w:rsidR="0008785D" w:rsidRDefault="0008785D" w:rsidP="009E2A58">
      <w:pPr>
        <w:pStyle w:val="ISLH-Content"/>
        <w:ind w:firstLine="360"/>
      </w:pPr>
      <w:r>
        <w:t>Contributed papers are limited to 4 pages</w:t>
      </w:r>
      <w:r w:rsidR="00323CCB">
        <w:t>.</w:t>
      </w:r>
      <w:r w:rsidR="007D1669">
        <w:t xml:space="preserve"> These limits include</w:t>
      </w:r>
      <w:r>
        <w:t xml:space="preserve"> all figures, tables, references, and author’s biography</w:t>
      </w:r>
      <w:r w:rsidR="00323CCB">
        <w:t>.</w:t>
      </w:r>
      <w:r w:rsidR="001C17C4">
        <w:t xml:space="preserve"> </w:t>
      </w:r>
      <w:r w:rsidR="001C17C4" w:rsidRPr="00707D8B">
        <w:rPr>
          <w:u w:val="single"/>
        </w:rPr>
        <w:t>Please do not insert any page numbers in your paper</w:t>
      </w:r>
      <w:r w:rsidR="001C17C4">
        <w:t>.</w:t>
      </w:r>
    </w:p>
    <w:p w14:paraId="6AB27F53" w14:textId="77777777" w:rsidR="00323CCB" w:rsidRDefault="00645566" w:rsidP="00F65D84">
      <w:pPr>
        <w:pStyle w:val="ISLH-Content"/>
        <w:ind w:firstLine="360"/>
      </w:pPr>
      <w:r>
        <w:t>Usually, each paper</w:t>
      </w:r>
      <w:r w:rsidR="00323CCB">
        <w:t xml:space="preserve"> contains the following components: </w:t>
      </w:r>
      <w:r w:rsidR="00E41961">
        <w:t xml:space="preserve">i.e. </w:t>
      </w:r>
      <w:r w:rsidR="00323CCB">
        <w:t xml:space="preserve">title, author’s name, author’s affiliates, abstract, sections and contents, acknowledgement (if </w:t>
      </w:r>
      <w:r w:rsidR="009978B0">
        <w:t>preferred</w:t>
      </w:r>
      <w:r w:rsidR="00323CCB">
        <w:t>), references, and auth</w:t>
      </w:r>
      <w:r w:rsidR="005C7C02">
        <w:t>ors’ biographies (if applicable)</w:t>
      </w:r>
      <w:r w:rsidR="00323CCB">
        <w:t>.</w:t>
      </w:r>
    </w:p>
    <w:p w14:paraId="6AB27F54" w14:textId="77777777" w:rsidR="009978B0" w:rsidRDefault="009978B0" w:rsidP="00F65D84">
      <w:pPr>
        <w:pStyle w:val="ISLH-Content"/>
        <w:ind w:firstLine="360"/>
      </w:pPr>
      <w:r>
        <w:t xml:space="preserve">Please do not include any academic positions nor titles to the author name. The affiliations require only the author institution. </w:t>
      </w:r>
      <w:r w:rsidR="0052630E">
        <w:t xml:space="preserve">Country of </w:t>
      </w:r>
      <w:r w:rsidR="00991C12">
        <w:t xml:space="preserve">the institution </w:t>
      </w:r>
      <w:r w:rsidR="0052630E">
        <w:t xml:space="preserve">can be included if preferred. </w:t>
      </w:r>
      <w:r>
        <w:t>Different affiliations can be indicated by using superscript num</w:t>
      </w:r>
      <w:r w:rsidR="00DB4543">
        <w:t>bers</w:t>
      </w:r>
      <w:r>
        <w:t xml:space="preserve">. </w:t>
      </w:r>
      <w:r w:rsidR="006D2DE8">
        <w:t xml:space="preserve">This superscript is not required for single author articles. </w:t>
      </w:r>
      <w:r>
        <w:t>An email is required only from the corresponding author.</w:t>
      </w:r>
      <w:r w:rsidR="005C7C02">
        <w:t xml:space="preserve"> Please note that the corresponding author </w:t>
      </w:r>
      <w:r w:rsidR="00F65D84">
        <w:t>may not</w:t>
      </w:r>
      <w:r w:rsidR="005C7C02">
        <w:t xml:space="preserve"> be the first author.</w:t>
      </w:r>
      <w:r w:rsidR="006D2DE8">
        <w:t xml:space="preserve"> </w:t>
      </w:r>
    </w:p>
    <w:p w14:paraId="6AB27F55" w14:textId="77777777" w:rsidR="00E5438A" w:rsidRDefault="00E5438A" w:rsidP="009E2A58">
      <w:pPr>
        <w:pStyle w:val="ISLH-Content"/>
      </w:pPr>
    </w:p>
    <w:p w14:paraId="6AB27F56" w14:textId="77777777" w:rsidR="00BB7B54" w:rsidRDefault="00BB7B54" w:rsidP="00BB7B54">
      <w:pPr>
        <w:pStyle w:val="ISLH-Section"/>
        <w:numPr>
          <w:ilvl w:val="0"/>
          <w:numId w:val="2"/>
        </w:numPr>
      </w:pPr>
      <w:r>
        <w:t>Style and Format</w:t>
      </w:r>
    </w:p>
    <w:p w14:paraId="6AB27F57" w14:textId="77777777" w:rsidR="00BB7B54" w:rsidRDefault="00DA2837" w:rsidP="00BB7B54">
      <w:pPr>
        <w:pStyle w:val="ISLH-Subsection"/>
      </w:pPr>
      <w:r>
        <w:t>Paper Size and Paragraphs</w:t>
      </w:r>
    </w:p>
    <w:p w14:paraId="6AB27F58" w14:textId="77777777" w:rsidR="00DA2837" w:rsidRPr="00DA2837" w:rsidRDefault="00DA2837" w:rsidP="009E2A58">
      <w:pPr>
        <w:pStyle w:val="ISLH-Content"/>
        <w:ind w:firstLine="357"/>
      </w:pPr>
      <w:r>
        <w:t xml:space="preserve">Please prepare your </w:t>
      </w:r>
      <w:r w:rsidR="00C7272A">
        <w:t>manuscript</w:t>
      </w:r>
      <w:r>
        <w:t xml:space="preserve"> on A4 (21 cm x 29.7 cm) </w:t>
      </w:r>
      <w:r w:rsidR="00DB4543">
        <w:t>papers. The margins for the top and</w:t>
      </w:r>
      <w:r>
        <w:t xml:space="preserve"> </w:t>
      </w:r>
      <w:r w:rsidR="00C7272A">
        <w:t>bottom</w:t>
      </w:r>
      <w:r w:rsidR="00DB4543">
        <w:t xml:space="preserve"> are 25 mm. Left and right are 20 mm.</w:t>
      </w:r>
      <w:r>
        <w:t xml:space="preserve"> respectively.</w:t>
      </w:r>
    </w:p>
    <w:p w14:paraId="6AB27F59" w14:textId="77777777" w:rsidR="00BB7B54" w:rsidRDefault="00DA2837" w:rsidP="00F65D84">
      <w:pPr>
        <w:pStyle w:val="ISLH-Content"/>
        <w:ind w:firstLine="357"/>
      </w:pPr>
      <w:r>
        <w:t xml:space="preserve">Title, authors’ names and authors’ affiliations are in single column. The rest of the </w:t>
      </w:r>
      <w:r w:rsidR="00DB4543">
        <w:t>paper are in two columns with 82</w:t>
      </w:r>
      <w:r>
        <w:t xml:space="preserve"> mm column widths and 6 mm spacing.</w:t>
      </w:r>
    </w:p>
    <w:p w14:paraId="6AB27F5A" w14:textId="77777777" w:rsidR="00DA2837" w:rsidRPr="007D1669" w:rsidRDefault="00DA2837" w:rsidP="00F65D84">
      <w:pPr>
        <w:pStyle w:val="ISLH-Content"/>
        <w:ind w:firstLine="357"/>
        <w:rPr>
          <w:u w:val="single"/>
        </w:rPr>
      </w:pPr>
      <w:r w:rsidRPr="007D1669">
        <w:rPr>
          <w:u w:val="single"/>
        </w:rPr>
        <w:t xml:space="preserve">All text are in </w:t>
      </w:r>
      <w:r w:rsidR="00BB6884" w:rsidRPr="007D1669">
        <w:rPr>
          <w:u w:val="single"/>
        </w:rPr>
        <w:t>single space</w:t>
      </w:r>
      <w:r w:rsidR="00645C40" w:rsidRPr="007D1669">
        <w:rPr>
          <w:u w:val="single"/>
        </w:rPr>
        <w:t xml:space="preserve">. Different </w:t>
      </w:r>
      <w:proofErr w:type="spellStart"/>
      <w:r w:rsidR="00F65D84">
        <w:rPr>
          <w:u w:val="single"/>
        </w:rPr>
        <w:t>paragraphes</w:t>
      </w:r>
      <w:proofErr w:type="spellEnd"/>
      <w:r w:rsidR="00F65D84">
        <w:rPr>
          <w:u w:val="single"/>
        </w:rPr>
        <w:t xml:space="preserve"> are indicated by using an indentation of 6.3 mm. Different </w:t>
      </w:r>
      <w:r w:rsidR="00645C40" w:rsidRPr="007D1669">
        <w:rPr>
          <w:u w:val="single"/>
        </w:rPr>
        <w:t>components, e.g. Title and authors’ names, and</w:t>
      </w:r>
      <w:r w:rsidR="00F65D84">
        <w:rPr>
          <w:u w:val="single"/>
        </w:rPr>
        <w:t xml:space="preserve"> between</w:t>
      </w:r>
      <w:r w:rsidR="00645C40" w:rsidRPr="007D1669">
        <w:rPr>
          <w:u w:val="single"/>
        </w:rPr>
        <w:t xml:space="preserve"> sections, are spaced with </w:t>
      </w:r>
      <w:r w:rsidR="00E5438A" w:rsidRPr="007D1669">
        <w:rPr>
          <w:u w:val="single"/>
        </w:rPr>
        <w:t>an extra empty line</w:t>
      </w:r>
      <w:r w:rsidR="00645C40" w:rsidRPr="007D1669">
        <w:rPr>
          <w:u w:val="single"/>
        </w:rPr>
        <w:t>.</w:t>
      </w:r>
    </w:p>
    <w:p w14:paraId="6AB27F5B" w14:textId="77777777" w:rsidR="00E5438A" w:rsidRDefault="00E5438A" w:rsidP="00DA2837">
      <w:pPr>
        <w:pStyle w:val="ISLH-Content"/>
      </w:pPr>
    </w:p>
    <w:p w14:paraId="6AB27F5C" w14:textId="77777777" w:rsidR="00645C40" w:rsidRDefault="00645C40" w:rsidP="00645C40">
      <w:pPr>
        <w:pStyle w:val="ISLH-Subsection"/>
      </w:pPr>
      <w:r>
        <w:t>Font Style</w:t>
      </w:r>
    </w:p>
    <w:p w14:paraId="6AB27F5D" w14:textId="77777777" w:rsidR="00645C40" w:rsidRDefault="00645C40" w:rsidP="007D1669">
      <w:pPr>
        <w:pStyle w:val="ISLH-Content"/>
        <w:ind w:firstLine="360"/>
      </w:pPr>
      <w:r>
        <w:t xml:space="preserve">Font type should mimic Times New Roman. </w:t>
      </w:r>
      <w:r w:rsidR="00E5438A">
        <w:t xml:space="preserve">Alternatives such as Nimbus Roman, Liberation Serif can also be used. </w:t>
      </w:r>
      <w:r>
        <w:t xml:space="preserve">Default style and size for the content is </w:t>
      </w:r>
      <w:r>
        <w:t>normal and 10 pt. The different style</w:t>
      </w:r>
      <w:r w:rsidR="00737AF1">
        <w:t>s</w:t>
      </w:r>
      <w:r>
        <w:t xml:space="preserve"> and size</w:t>
      </w:r>
      <w:r w:rsidR="00737AF1">
        <w:t>s</w:t>
      </w:r>
      <w:r>
        <w:t xml:space="preserve"> for different paper components are listed in </w:t>
      </w:r>
      <w:r w:rsidR="00114EDA">
        <w:fldChar w:fldCharType="begin"/>
      </w:r>
      <w:r w:rsidR="003C2066">
        <w:instrText xml:space="preserve"> REF _Ref378328226 \h </w:instrText>
      </w:r>
      <w:r w:rsidR="00114EDA">
        <w:fldChar w:fldCharType="separate"/>
      </w:r>
      <w:r w:rsidR="00FE6681">
        <w:t xml:space="preserve">TABLE </w:t>
      </w:r>
      <w:r w:rsidR="00114EDA">
        <w:fldChar w:fldCharType="end"/>
      </w:r>
      <w:r>
        <w:t>.</w:t>
      </w:r>
    </w:p>
    <w:p w14:paraId="6AB27F5E" w14:textId="77777777" w:rsidR="00E5438A" w:rsidRDefault="00E5438A" w:rsidP="00645C40">
      <w:pPr>
        <w:pStyle w:val="ISLH-Content"/>
      </w:pPr>
    </w:p>
    <w:p w14:paraId="6AB27F5F" w14:textId="77777777" w:rsidR="00C51186" w:rsidRDefault="00C51186" w:rsidP="00120734">
      <w:pPr>
        <w:pStyle w:val="ISLH-Caption"/>
        <w:jc w:val="center"/>
      </w:pPr>
      <w:bookmarkStart w:id="0" w:name="_Ref378328226"/>
      <w:r>
        <w:t>TABLE</w:t>
      </w:r>
      <w:r w:rsidR="000B0A56">
        <w:t xml:space="preserve"> </w:t>
      </w:r>
      <w:bookmarkEnd w:id="0"/>
      <w:r>
        <w:t>I</w:t>
      </w:r>
      <w:r w:rsidR="000B0A56">
        <w:t xml:space="preserve"> </w:t>
      </w:r>
    </w:p>
    <w:p w14:paraId="6AB27F60" w14:textId="77777777" w:rsidR="00120734" w:rsidRDefault="000B0A56" w:rsidP="00120734">
      <w:pPr>
        <w:pStyle w:val="ISLH-Caption"/>
        <w:jc w:val="center"/>
      </w:pPr>
      <w:r>
        <w:t>Font styles and sizes for different menuscript components</w:t>
      </w:r>
    </w:p>
    <w:tbl>
      <w:tblPr>
        <w:tblW w:w="4536" w:type="dxa"/>
        <w:tblInd w:w="108" w:type="dxa"/>
        <w:tblBorders>
          <w:top w:val="single" w:sz="12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1134"/>
      </w:tblGrid>
      <w:tr w:rsidR="00C51186" w14:paraId="6AB27F64" w14:textId="77777777" w:rsidTr="00C51186">
        <w:trPr>
          <w:trHeight w:val="68"/>
        </w:trPr>
        <w:tc>
          <w:tcPr>
            <w:tcW w:w="1985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B27F61" w14:textId="77777777" w:rsidR="00C51186" w:rsidRPr="00B133D6" w:rsidRDefault="00C51186" w:rsidP="004D2744">
            <w:pPr>
              <w:pStyle w:val="ISLH-Table"/>
              <w:rPr>
                <w:b/>
                <w:bCs/>
              </w:rPr>
            </w:pPr>
            <w:r w:rsidRPr="00B133D6">
              <w:rPr>
                <w:b/>
                <w:bCs/>
              </w:rPr>
              <w:t>Component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B27F62" w14:textId="77777777" w:rsidR="00C51186" w:rsidRPr="00B133D6" w:rsidRDefault="00C51186" w:rsidP="004D2744">
            <w:pPr>
              <w:pStyle w:val="ISLH-Table"/>
              <w:rPr>
                <w:b/>
                <w:bCs/>
              </w:rPr>
            </w:pPr>
            <w:r>
              <w:rPr>
                <w:b/>
                <w:bCs/>
              </w:rPr>
              <w:t>Style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B27F63" w14:textId="77777777" w:rsidR="00C51186" w:rsidRPr="00B133D6" w:rsidRDefault="00C51186" w:rsidP="004D2744">
            <w:pPr>
              <w:pStyle w:val="ISLH-Table"/>
              <w:rPr>
                <w:b/>
                <w:bCs/>
              </w:rPr>
            </w:pPr>
            <w:r w:rsidRPr="00B133D6">
              <w:rPr>
                <w:b/>
                <w:bCs/>
              </w:rPr>
              <w:t>Size</w:t>
            </w:r>
          </w:p>
        </w:tc>
      </w:tr>
      <w:tr w:rsidR="00C51186" w14:paraId="6AB27F68" w14:textId="77777777" w:rsidTr="00C5118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27F65" w14:textId="77777777" w:rsidR="00C51186" w:rsidRDefault="00C51186" w:rsidP="004D2744">
            <w:pPr>
              <w:pStyle w:val="ISLH-Table"/>
              <w:jc w:val="left"/>
            </w:pPr>
            <w:r>
              <w:t>Title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27F66" w14:textId="77777777" w:rsidR="00C51186" w:rsidRDefault="00C51186" w:rsidP="004D2744">
            <w:pPr>
              <w:pStyle w:val="ISLH-Table"/>
            </w:pPr>
            <w:r>
              <w:t>Bold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27F67" w14:textId="77777777" w:rsidR="00C51186" w:rsidRDefault="00C51186" w:rsidP="004D2744">
            <w:pPr>
              <w:pStyle w:val="ISLH-Table"/>
            </w:pPr>
            <w:r>
              <w:t>22</w:t>
            </w:r>
          </w:p>
        </w:tc>
      </w:tr>
      <w:tr w:rsidR="00C51186" w14:paraId="6AB27F6C" w14:textId="77777777" w:rsidTr="00C5118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27F69" w14:textId="77777777" w:rsidR="00C51186" w:rsidRDefault="00C51186" w:rsidP="004D2744">
            <w:pPr>
              <w:pStyle w:val="ISLH-Table"/>
              <w:jc w:val="left"/>
            </w:pPr>
            <w:r>
              <w:t xml:space="preserve">Authors’ names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27F6A" w14:textId="77777777" w:rsidR="00C51186" w:rsidRDefault="00C51186" w:rsidP="004D2744">
            <w:pPr>
              <w:pStyle w:val="ISLH-Table"/>
            </w:pPr>
            <w:r>
              <w:t>Bold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27F6B" w14:textId="77777777" w:rsidR="00C51186" w:rsidRDefault="00C51186" w:rsidP="004D2744">
            <w:pPr>
              <w:pStyle w:val="ISLH-Table"/>
            </w:pPr>
            <w:r>
              <w:t>10</w:t>
            </w:r>
          </w:p>
        </w:tc>
      </w:tr>
      <w:tr w:rsidR="00C51186" w14:paraId="6AB27F70" w14:textId="77777777" w:rsidTr="00C5118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27F6D" w14:textId="77777777" w:rsidR="00C51186" w:rsidRDefault="00C51186" w:rsidP="004D2744">
            <w:pPr>
              <w:pStyle w:val="ISLH-Table"/>
              <w:jc w:val="left"/>
            </w:pPr>
            <w:r>
              <w:t>Authors’ affiliates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27F6E" w14:textId="77777777" w:rsidR="00C51186" w:rsidRDefault="00C51186" w:rsidP="004D2744">
            <w:pPr>
              <w:pStyle w:val="ISLH-Table"/>
            </w:pPr>
            <w:r>
              <w:t>Regular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27F6F" w14:textId="77777777" w:rsidR="00C51186" w:rsidRDefault="00C51186" w:rsidP="004D2744">
            <w:pPr>
              <w:pStyle w:val="ISLH-Table"/>
            </w:pPr>
            <w:r>
              <w:t>10</w:t>
            </w:r>
          </w:p>
        </w:tc>
      </w:tr>
      <w:tr w:rsidR="00C51186" w14:paraId="6AB27F74" w14:textId="77777777" w:rsidTr="00C51186">
        <w:trPr>
          <w:trHeight w:val="84"/>
        </w:trPr>
        <w:tc>
          <w:tcPr>
            <w:tcW w:w="1985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AB27F71" w14:textId="77777777" w:rsidR="00C51186" w:rsidRDefault="00C51186" w:rsidP="004D2744">
            <w:pPr>
              <w:pStyle w:val="ISLH-Table"/>
              <w:jc w:val="left"/>
            </w:pPr>
            <w:r>
              <w:t>Sections (all levels)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AB27F72" w14:textId="77777777" w:rsidR="00C51186" w:rsidRDefault="00C51186" w:rsidP="004D2744">
            <w:pPr>
              <w:pStyle w:val="ISLH-Table"/>
            </w:pPr>
            <w:r>
              <w:t>Bold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AB27F73" w14:textId="77777777" w:rsidR="00C51186" w:rsidRDefault="00C51186" w:rsidP="004D2744">
            <w:pPr>
              <w:pStyle w:val="ISLH-Table"/>
            </w:pPr>
            <w:r>
              <w:t>11</w:t>
            </w:r>
          </w:p>
        </w:tc>
      </w:tr>
      <w:tr w:rsidR="00C51186" w14:paraId="6AB27F78" w14:textId="77777777" w:rsidTr="00C51186">
        <w:trPr>
          <w:trHeight w:val="58"/>
        </w:trPr>
        <w:tc>
          <w:tcPr>
            <w:tcW w:w="198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AB27F75" w14:textId="77777777" w:rsidR="00C51186" w:rsidRDefault="00C51186" w:rsidP="004D2744">
            <w:pPr>
              <w:pStyle w:val="ISLH-Table"/>
              <w:jc w:val="left"/>
            </w:pPr>
            <w:r>
              <w:t>Content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AB27F76" w14:textId="77777777" w:rsidR="00C51186" w:rsidRDefault="00C51186" w:rsidP="004D2744">
            <w:pPr>
              <w:pStyle w:val="ISLH-Table"/>
            </w:pPr>
            <w:r>
              <w:t>Regular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AB27F77" w14:textId="77777777" w:rsidR="00C51186" w:rsidRDefault="00C51186" w:rsidP="004D2744">
            <w:pPr>
              <w:pStyle w:val="ISLH-Table"/>
            </w:pPr>
            <w:r>
              <w:t>10</w:t>
            </w:r>
          </w:p>
        </w:tc>
      </w:tr>
      <w:tr w:rsidR="00C51186" w14:paraId="6AB27F7C" w14:textId="77777777" w:rsidTr="00C51186">
        <w:trPr>
          <w:trHeight w:val="65"/>
        </w:trPr>
        <w:tc>
          <w:tcPr>
            <w:tcW w:w="198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AB27F79" w14:textId="77777777" w:rsidR="00C51186" w:rsidRDefault="00C51186" w:rsidP="004D2744">
            <w:pPr>
              <w:pStyle w:val="ISLH-Table"/>
              <w:jc w:val="left"/>
            </w:pPr>
            <w:r>
              <w:t>Table contents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AB27F7A" w14:textId="77777777" w:rsidR="00C51186" w:rsidRDefault="00C51186" w:rsidP="004D2744">
            <w:pPr>
              <w:pStyle w:val="ISLH-Table"/>
            </w:pPr>
            <w:r>
              <w:t>As appropriate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6AB27F7B" w14:textId="77777777" w:rsidR="00C51186" w:rsidRDefault="00C51186" w:rsidP="004D2744">
            <w:pPr>
              <w:pStyle w:val="ISLH-Table"/>
            </w:pPr>
            <w:r>
              <w:t>9</w:t>
            </w:r>
          </w:p>
        </w:tc>
      </w:tr>
      <w:tr w:rsidR="00C51186" w14:paraId="6AB27F80" w14:textId="77777777" w:rsidTr="00C51186">
        <w:trPr>
          <w:trHeight w:val="65"/>
        </w:trPr>
        <w:tc>
          <w:tcPr>
            <w:tcW w:w="1985" w:type="dxa"/>
            <w:tcBorders>
              <w:top w:val="single" w:sz="4" w:space="0" w:color="FFFFFF" w:themeColor="background1"/>
              <w:left w:val="nil"/>
              <w:bottom w:val="double" w:sz="6" w:space="0" w:color="auto"/>
              <w:right w:val="nil"/>
            </w:tcBorders>
            <w:vAlign w:val="center"/>
          </w:tcPr>
          <w:p w14:paraId="6AB27F7D" w14:textId="77777777" w:rsidR="00C51186" w:rsidRDefault="00C51186" w:rsidP="004D2744">
            <w:pPr>
              <w:pStyle w:val="ISLH-Table"/>
              <w:jc w:val="left"/>
            </w:pPr>
            <w:r>
              <w:t>Captions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nil"/>
              <w:bottom w:val="double" w:sz="6" w:space="0" w:color="auto"/>
              <w:right w:val="nil"/>
            </w:tcBorders>
            <w:vAlign w:val="center"/>
          </w:tcPr>
          <w:p w14:paraId="6AB27F7E" w14:textId="77777777" w:rsidR="00C51186" w:rsidRDefault="00C51186" w:rsidP="004D2744">
            <w:pPr>
              <w:pStyle w:val="ISLH-Table"/>
            </w:pPr>
            <w:r>
              <w:t>Regular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double" w:sz="6" w:space="0" w:color="auto"/>
              <w:right w:val="nil"/>
            </w:tcBorders>
            <w:vAlign w:val="center"/>
          </w:tcPr>
          <w:p w14:paraId="6AB27F7F" w14:textId="77777777" w:rsidR="00C51186" w:rsidRDefault="00C51186" w:rsidP="004D2744">
            <w:pPr>
              <w:pStyle w:val="ISLH-Table"/>
            </w:pPr>
            <w:r>
              <w:t>8</w:t>
            </w:r>
          </w:p>
        </w:tc>
      </w:tr>
    </w:tbl>
    <w:p w14:paraId="6AB27F81" w14:textId="77777777" w:rsidR="00C51186" w:rsidRPr="00C51186" w:rsidRDefault="00C51186" w:rsidP="00C51186">
      <w:pPr>
        <w:pStyle w:val="ISLH-Content"/>
        <w:rPr>
          <w:sz w:val="12"/>
          <w:szCs w:val="12"/>
        </w:rPr>
      </w:pPr>
    </w:p>
    <w:p w14:paraId="6AB27F82" w14:textId="77777777" w:rsidR="007222E4" w:rsidRDefault="007222E4" w:rsidP="007222E4">
      <w:pPr>
        <w:pStyle w:val="ISLH-Subsection"/>
      </w:pPr>
      <w:r>
        <w:t>Abstract</w:t>
      </w:r>
    </w:p>
    <w:p w14:paraId="6AB27F83" w14:textId="77777777" w:rsidR="007222E4" w:rsidRDefault="00C40F17" w:rsidP="00DF1C8E">
      <w:pPr>
        <w:pStyle w:val="ISLH-Content"/>
        <w:ind w:firstLine="357"/>
      </w:pPr>
      <w:r w:rsidRPr="006D2DE8">
        <w:rPr>
          <w:u w:val="single"/>
        </w:rPr>
        <w:t>Abstract heading</w:t>
      </w:r>
      <w:r>
        <w:t xml:space="preserve"> font style and sizes are bold</w:t>
      </w:r>
      <w:r w:rsidR="00DF1C8E">
        <w:t xml:space="preserve"> and 11 points</w:t>
      </w:r>
      <w:r>
        <w:t xml:space="preserve">. </w:t>
      </w:r>
      <w:r w:rsidR="00DF1C8E">
        <w:t>Abstract contents font style and size are bold and 10 points.</w:t>
      </w:r>
    </w:p>
    <w:p w14:paraId="6AB27F84" w14:textId="77777777" w:rsidR="00E5438A" w:rsidRPr="00C51186" w:rsidRDefault="00E5438A" w:rsidP="00DF1C8E">
      <w:pPr>
        <w:pStyle w:val="ISLH-Content"/>
        <w:ind w:firstLine="357"/>
        <w:rPr>
          <w:sz w:val="14"/>
          <w:szCs w:val="14"/>
        </w:rPr>
      </w:pPr>
    </w:p>
    <w:p w14:paraId="6AB27F85" w14:textId="77777777" w:rsidR="000470A5" w:rsidRDefault="000470A5" w:rsidP="000470A5">
      <w:pPr>
        <w:pStyle w:val="ISLH-Subsection"/>
      </w:pPr>
      <w:r>
        <w:t>Sections</w:t>
      </w:r>
    </w:p>
    <w:p w14:paraId="6AB27F86" w14:textId="77777777" w:rsidR="00C92549" w:rsidRDefault="000470A5" w:rsidP="000470A5">
      <w:pPr>
        <w:pStyle w:val="ISLH-Content"/>
        <w:ind w:firstLine="357"/>
      </w:pPr>
      <w:r>
        <w:t xml:space="preserve">Sections are in </w:t>
      </w:r>
      <w:r w:rsidR="00C612E9">
        <w:t>upper and lower case bold letter</w:t>
      </w:r>
      <w:r>
        <w:t>. They should appear with sequential numbers, left-hand</w:t>
      </w:r>
      <w:r w:rsidR="00ED0BC6">
        <w:t xml:space="preserve"> justified. Subsections </w:t>
      </w:r>
      <w:r w:rsidR="007D1669">
        <w:t xml:space="preserve">such as 2.1 and 2.1.1 </w:t>
      </w:r>
      <w:r w:rsidR="007222E4">
        <w:t xml:space="preserve">can be used but subsections </w:t>
      </w:r>
      <w:r w:rsidR="00ED0BC6">
        <w:t>deeper t</w:t>
      </w:r>
      <w:r w:rsidR="007D1669">
        <w:t>han 3 levels, e.g.</w:t>
      </w:r>
      <w:r w:rsidR="00ED0BC6">
        <w:t xml:space="preserve"> 2.1.1.1 are not recommended.</w:t>
      </w:r>
      <w:r w:rsidR="00DF1C8E">
        <w:t xml:space="preserve"> </w:t>
      </w:r>
    </w:p>
    <w:p w14:paraId="6AB27F87" w14:textId="77777777" w:rsidR="006D2DE8" w:rsidRPr="00C51186" w:rsidRDefault="006D2DE8" w:rsidP="000470A5">
      <w:pPr>
        <w:pStyle w:val="ISLH-Content"/>
        <w:ind w:firstLine="357"/>
        <w:rPr>
          <w:sz w:val="14"/>
          <w:szCs w:val="14"/>
        </w:rPr>
      </w:pPr>
    </w:p>
    <w:p w14:paraId="6AB27F88" w14:textId="77777777" w:rsidR="00ED0BC6" w:rsidRDefault="00DF1C8E" w:rsidP="00DF1C8E">
      <w:pPr>
        <w:pStyle w:val="ISLH-Subsection"/>
      </w:pPr>
      <w:r>
        <w:t>References</w:t>
      </w:r>
    </w:p>
    <w:p w14:paraId="6AB27F89" w14:textId="0FF638A1" w:rsidR="00676F0C" w:rsidRDefault="00E62C20" w:rsidP="001B54DA">
      <w:pPr>
        <w:pStyle w:val="ISLH-Content"/>
        <w:ind w:firstLine="357"/>
      </w:pPr>
      <w:r>
        <w:t xml:space="preserve">The heading of the References section must not be numbered. </w:t>
      </w:r>
      <w:r w:rsidR="009C1F75">
        <w:t xml:space="preserve">The references will be numbered in order of appearance. </w:t>
      </w:r>
      <w:r w:rsidR="000F3A07">
        <w:t>Do not use “Ref. [3]” or “Reference</w:t>
      </w:r>
      <w:r w:rsidR="007D1669">
        <w:t xml:space="preserve"> </w:t>
      </w:r>
      <w:r w:rsidR="000F3A07">
        <w:t>[3]” except at the beginning of the sentence, e.g. “Reference [3] shows …”. Multiple references ar</w:t>
      </w:r>
      <w:r w:rsidR="00F64B50">
        <w:t xml:space="preserve">e numbered </w:t>
      </w:r>
      <w:r w:rsidR="00254CD1">
        <w:t xml:space="preserve">together (e.g. [1 – </w:t>
      </w:r>
      <w:r w:rsidR="00F64B50">
        <w:t>3]</w:t>
      </w:r>
      <w:r w:rsidR="000F3A07">
        <w:t xml:space="preserve">). </w:t>
      </w:r>
      <w:r w:rsidR="009C1F75">
        <w:t>Please avoid listing references that do not appear in the text.</w:t>
      </w:r>
      <w:r w:rsidR="001B54DA">
        <w:t xml:space="preserve"> </w:t>
      </w:r>
      <w:r w:rsidR="00676F0C">
        <w:t>The reference</w:t>
      </w:r>
      <w:r w:rsidR="001B54DA">
        <w:t xml:space="preserve"> </w:t>
      </w:r>
      <w:r w:rsidR="00676F0C">
        <w:t>format is the standard IEEE one.</w:t>
      </w:r>
      <w:r w:rsidR="00DB09AD">
        <w:t xml:space="preserve"> </w:t>
      </w:r>
      <w:r w:rsidR="00CF50EF">
        <w:t>The guideline can be found at</w:t>
      </w:r>
      <w:r w:rsidR="00434FAA">
        <w:t xml:space="preserve"> </w:t>
      </w:r>
      <w:hyperlink r:id="rId10" w:history="1">
        <w:r w:rsidR="00434FAA" w:rsidRPr="00355901">
          <w:rPr>
            <w:rStyle w:val="Hyperlink"/>
          </w:rPr>
          <w:t>https://libraryguides.vu.edu.au/ieeereferencing/gettingstarted</w:t>
        </w:r>
      </w:hyperlink>
      <w:r w:rsidR="00CF50EF">
        <w:t>. The references given in this template include a book</w:t>
      </w:r>
      <w:r w:rsidR="00434FAA">
        <w:t>, a handbook</w:t>
      </w:r>
      <w:r w:rsidR="00114EDA">
        <w:fldChar w:fldCharType="begin"/>
      </w:r>
      <w:r w:rsidR="00CF50EF">
        <w:instrText xml:space="preserve"> REF _Ref378523726 \n \h </w:instrText>
      </w:r>
      <w:r w:rsidR="00BB24A2">
        <w:fldChar w:fldCharType="separate"/>
      </w:r>
      <w:r w:rsidR="00114EDA">
        <w:fldChar w:fldCharType="end"/>
      </w:r>
      <w:r w:rsidR="00CF50EF">
        <w:t xml:space="preserve">, a journal article, and a conference article. </w:t>
      </w:r>
      <w:r w:rsidR="00DB09AD">
        <w:t>References in Thai</w:t>
      </w:r>
      <w:r w:rsidR="000E63FA">
        <w:t xml:space="preserve"> </w:t>
      </w:r>
      <w:r w:rsidR="00DB09AD">
        <w:t xml:space="preserve">can also be </w:t>
      </w:r>
      <w:r w:rsidR="000E63FA">
        <w:t>listed</w:t>
      </w:r>
      <w:r w:rsidR="00DB09AD">
        <w:t xml:space="preserve"> using E</w:t>
      </w:r>
      <w:r w:rsidR="000E63FA">
        <w:t>nglish with</w:t>
      </w:r>
      <w:r w:rsidR="00DB09AD">
        <w:t xml:space="preserve"> </w:t>
      </w:r>
      <w:r w:rsidR="00707D8B">
        <w:t>“</w:t>
      </w:r>
      <w:r w:rsidR="00DB09AD">
        <w:t>(in Thai)</w:t>
      </w:r>
      <w:r w:rsidR="00707D8B">
        <w:t>”</w:t>
      </w:r>
      <w:r w:rsidR="000E63FA">
        <w:t xml:space="preserve"> </w:t>
      </w:r>
      <w:r w:rsidR="00DB09AD">
        <w:t>at th</w:t>
      </w:r>
      <w:r w:rsidR="00434FAA">
        <w:t>e end of the list.</w:t>
      </w:r>
    </w:p>
    <w:p w14:paraId="6AB27F8A" w14:textId="77777777" w:rsidR="00E5438A" w:rsidRDefault="00E5438A" w:rsidP="001B54DA">
      <w:pPr>
        <w:pStyle w:val="ISLH-Content"/>
        <w:ind w:firstLine="357"/>
      </w:pPr>
    </w:p>
    <w:p w14:paraId="6AB27F8B" w14:textId="77777777" w:rsidR="00571AE9" w:rsidRDefault="00571AE9" w:rsidP="00571AE9">
      <w:pPr>
        <w:pStyle w:val="ISLH-Subsection"/>
      </w:pPr>
      <w:r>
        <w:t>Equations</w:t>
      </w:r>
    </w:p>
    <w:p w14:paraId="6AB27F8C" w14:textId="77777777" w:rsidR="00571AE9" w:rsidRDefault="00571AE9" w:rsidP="00571AE9">
      <w:pPr>
        <w:pStyle w:val="ISLH-Content"/>
        <w:ind w:firstLine="357"/>
      </w:pPr>
      <w:r>
        <w:t xml:space="preserve">Equations should be </w:t>
      </w:r>
      <w:r w:rsidR="00254CD1">
        <w:t xml:space="preserve">numbered and should be </w:t>
      </w:r>
      <w:r>
        <w:t>placed on separated lines</w:t>
      </w:r>
      <w:r w:rsidR="00254CD1">
        <w:t xml:space="preserve">. </w:t>
      </w:r>
      <w:r>
        <w:t>The equation number should be placed in parenthesis and flushed with the right-hand margin.</w:t>
      </w:r>
      <w:r w:rsidR="00CA352E">
        <w:t xml:space="preserve"> MS-Word 2007 users can make this possible by using 3 columns table with invisible borders.</w:t>
      </w:r>
    </w:p>
    <w:p w14:paraId="6AB27F8D" w14:textId="77777777" w:rsidR="00E5438A" w:rsidRDefault="00E5438A" w:rsidP="00571AE9">
      <w:pPr>
        <w:pStyle w:val="ISLH-Content"/>
        <w:ind w:firstLine="357"/>
      </w:pPr>
    </w:p>
    <w:tbl>
      <w:tblPr>
        <w:tblStyle w:val="TableGrid"/>
        <w:tblW w:w="4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3674"/>
        <w:gridCol w:w="459"/>
      </w:tblGrid>
      <w:tr w:rsidR="00CA352E" w14:paraId="6AB27F91" w14:textId="77777777" w:rsidTr="00DD152E">
        <w:tc>
          <w:tcPr>
            <w:tcW w:w="500" w:type="pct"/>
            <w:vAlign w:val="center"/>
          </w:tcPr>
          <w:p w14:paraId="6AB27F8E" w14:textId="77777777" w:rsidR="00CA352E" w:rsidRDefault="00CA352E" w:rsidP="00CA352E">
            <w:pPr>
              <w:pStyle w:val="ISLH-Content"/>
            </w:pPr>
          </w:p>
        </w:tc>
        <w:tc>
          <w:tcPr>
            <w:tcW w:w="4000" w:type="pct"/>
            <w:vAlign w:val="center"/>
          </w:tcPr>
          <w:p w14:paraId="6AB27F8F" w14:textId="77777777" w:rsidR="00CA352E" w:rsidRDefault="00CA352E" w:rsidP="00CA352E">
            <w:pPr>
              <w:pStyle w:val="ISLH-Content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a+b=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</m:den>
                </m:f>
              </m:oMath>
            </m:oMathPara>
          </w:p>
        </w:tc>
        <w:tc>
          <w:tcPr>
            <w:tcW w:w="1667" w:type="pct"/>
            <w:vAlign w:val="center"/>
          </w:tcPr>
          <w:p w14:paraId="6AB27F90" w14:textId="77777777" w:rsidR="00C82EFA" w:rsidRDefault="00CA352E" w:rsidP="00C82EFA">
            <w:pPr>
              <w:pStyle w:val="ISLH-Content"/>
              <w:jc w:val="center"/>
            </w:pPr>
            <w:r>
              <w:t>(1)</w:t>
            </w:r>
          </w:p>
        </w:tc>
      </w:tr>
      <w:tr w:rsidR="00C82EFA" w14:paraId="6AB27F95" w14:textId="77777777" w:rsidTr="00DD152E">
        <w:tc>
          <w:tcPr>
            <w:tcW w:w="500" w:type="pct"/>
            <w:vAlign w:val="center"/>
          </w:tcPr>
          <w:p w14:paraId="6AB27F92" w14:textId="77777777" w:rsidR="00C82EFA" w:rsidRDefault="00C82EFA" w:rsidP="00CA352E">
            <w:pPr>
              <w:pStyle w:val="ISLH-Content"/>
            </w:pPr>
          </w:p>
        </w:tc>
        <w:tc>
          <w:tcPr>
            <w:tcW w:w="4000" w:type="pct"/>
            <w:vAlign w:val="center"/>
          </w:tcPr>
          <w:p w14:paraId="6AB27F93" w14:textId="77777777" w:rsidR="00C82EFA" w:rsidRDefault="00C82EFA" w:rsidP="00CA352E">
            <w:pPr>
              <w:pStyle w:val="ISLH-Content"/>
              <w:jc w:val="center"/>
              <w:rPr>
                <w:rFonts w:eastAsia="Times New Roman"/>
              </w:rPr>
            </w:pPr>
          </w:p>
        </w:tc>
        <w:tc>
          <w:tcPr>
            <w:tcW w:w="1667" w:type="pct"/>
            <w:vAlign w:val="center"/>
          </w:tcPr>
          <w:p w14:paraId="6AB27F94" w14:textId="77777777" w:rsidR="00C82EFA" w:rsidRDefault="00C82EFA" w:rsidP="00C82EFA">
            <w:pPr>
              <w:pStyle w:val="ISLH-Content"/>
              <w:jc w:val="center"/>
            </w:pPr>
          </w:p>
        </w:tc>
      </w:tr>
    </w:tbl>
    <w:p w14:paraId="6AB27F96" w14:textId="77777777" w:rsidR="00DD152E" w:rsidRDefault="00DD152E" w:rsidP="00F8546E">
      <w:pPr>
        <w:pStyle w:val="ISLH-Subsection"/>
      </w:pPr>
      <w:r>
        <w:lastRenderedPageBreak/>
        <w:t>Figures</w:t>
      </w:r>
      <w:r w:rsidR="00D11672">
        <w:t xml:space="preserve"> and Tables</w:t>
      </w:r>
    </w:p>
    <w:p w14:paraId="6AB27F97" w14:textId="77777777" w:rsidR="00F8546E" w:rsidRDefault="00F8546E" w:rsidP="00F8546E">
      <w:pPr>
        <w:ind w:firstLine="284"/>
        <w:jc w:val="both"/>
        <w:rPr>
          <w:lang w:eastAsia="ja-JP"/>
        </w:rPr>
      </w:pPr>
      <w:r>
        <w:rPr>
          <w:rStyle w:val="BodyText2"/>
          <w:rFonts w:ascii="Times" w:hAnsi="Times"/>
          <w:color w:val="000000" w:themeColor="text1"/>
          <w:szCs w:val="20"/>
          <w:lang w:eastAsia="ja-JP"/>
        </w:rPr>
        <w:t xml:space="preserve"> </w:t>
      </w:r>
      <w:r>
        <w:rPr>
          <w:rStyle w:val="BodyText2"/>
          <w:rFonts w:ascii="Times" w:hAnsi="Times" w:hint="eastAsia"/>
          <w:color w:val="000000" w:themeColor="text1"/>
          <w:szCs w:val="20"/>
          <w:lang w:eastAsia="ja-JP"/>
        </w:rPr>
        <w:t>Figures could be provided in</w:t>
      </w:r>
      <w:r w:rsidRPr="001F4C5C">
        <w:rPr>
          <w:rStyle w:val="BodyText2"/>
          <w:rFonts w:ascii="Times" w:hAnsi="Times"/>
          <w:color w:val="000000" w:themeColor="text1"/>
          <w:szCs w:val="20"/>
        </w:rPr>
        <w:t xml:space="preserve"> color </w:t>
      </w:r>
      <w:r>
        <w:rPr>
          <w:rStyle w:val="BodyText2"/>
          <w:rFonts w:ascii="Times" w:hAnsi="Times" w:hint="eastAsia"/>
          <w:color w:val="000000" w:themeColor="text1"/>
          <w:szCs w:val="20"/>
          <w:lang w:eastAsia="ja-JP"/>
        </w:rPr>
        <w:t xml:space="preserve">or grayscale. </w:t>
      </w:r>
      <w:r w:rsidRPr="001F4C5C">
        <w:rPr>
          <w:rStyle w:val="BodyText2"/>
          <w:rFonts w:ascii="Times" w:hAnsi="Times"/>
          <w:color w:val="000000" w:themeColor="text1"/>
          <w:szCs w:val="20"/>
        </w:rPr>
        <w:t>When referencing your figures within your paper, use the abbreviation “F</w:t>
      </w:r>
      <w:r w:rsidRPr="0013354F">
        <w:rPr>
          <w:rStyle w:val="BodyText2"/>
          <w:rFonts w:ascii="Times" w:hAnsi="Times"/>
          <w:color w:val="000000" w:themeColor="text1"/>
          <w:szCs w:val="20"/>
        </w:rPr>
        <w:t xml:space="preserve">ig.” even at the beginning of a </w:t>
      </w:r>
      <w:r w:rsidRPr="001F4C5C">
        <w:rPr>
          <w:rStyle w:val="BodyText2"/>
          <w:rFonts w:ascii="Times" w:hAnsi="Times"/>
          <w:color w:val="000000" w:themeColor="text1"/>
          <w:szCs w:val="20"/>
        </w:rPr>
        <w:t>sentence.</w:t>
      </w:r>
      <w:r w:rsidRPr="00927763">
        <w:t xml:space="preserve"> </w:t>
      </w:r>
    </w:p>
    <w:p w14:paraId="6AB27F98" w14:textId="77777777" w:rsidR="00F8546E" w:rsidRDefault="00F8546E" w:rsidP="00F8546E">
      <w:pPr>
        <w:ind w:firstLine="284"/>
        <w:jc w:val="both"/>
        <w:rPr>
          <w:lang w:eastAsia="ja-JP"/>
        </w:rPr>
      </w:pPr>
      <w:r>
        <w:t xml:space="preserve"> </w:t>
      </w:r>
      <w:r w:rsidRPr="009C637A">
        <w:rPr>
          <w:sz w:val="22"/>
          <w:szCs w:val="22"/>
        </w:rPr>
        <w:t>Figure axis labels are often a source of confusion. Use words rather than symbols. As an example, write the quantity “</w:t>
      </w:r>
      <w:r w:rsidRPr="009C637A">
        <w:rPr>
          <w:rFonts w:hint="eastAsia"/>
          <w:sz w:val="22"/>
          <w:szCs w:val="22"/>
          <w:lang w:eastAsia="ja-JP"/>
        </w:rPr>
        <w:t>Current</w:t>
      </w:r>
      <w:r w:rsidRPr="009C637A">
        <w:rPr>
          <w:sz w:val="22"/>
          <w:szCs w:val="22"/>
        </w:rPr>
        <w:t xml:space="preserve">,” or </w:t>
      </w:r>
      <w:r w:rsidRPr="009C637A">
        <w:rPr>
          <w:sz w:val="22"/>
          <w:szCs w:val="22"/>
          <w:lang w:eastAsia="ja-JP"/>
        </w:rPr>
        <w:t>“</w:t>
      </w:r>
      <w:r w:rsidRPr="009C637A">
        <w:rPr>
          <w:rFonts w:hint="eastAsia"/>
          <w:sz w:val="22"/>
          <w:szCs w:val="22"/>
          <w:lang w:eastAsia="ja-JP"/>
        </w:rPr>
        <w:t xml:space="preserve">Current </w:t>
      </w:r>
      <w:r w:rsidRPr="009C637A">
        <w:rPr>
          <w:rFonts w:hint="eastAsia"/>
          <w:i/>
          <w:iCs/>
          <w:sz w:val="22"/>
          <w:szCs w:val="22"/>
          <w:lang w:eastAsia="ja-JP"/>
        </w:rPr>
        <w:t>I</w:t>
      </w:r>
      <w:r w:rsidRPr="009C637A">
        <w:rPr>
          <w:sz w:val="22"/>
          <w:szCs w:val="22"/>
        </w:rPr>
        <w:t>,” not just “</w:t>
      </w:r>
      <w:r w:rsidRPr="009C637A">
        <w:rPr>
          <w:rFonts w:hint="eastAsia"/>
          <w:i/>
          <w:iCs/>
          <w:sz w:val="22"/>
          <w:szCs w:val="22"/>
          <w:lang w:eastAsia="ja-JP"/>
        </w:rPr>
        <w:t>I</w:t>
      </w:r>
      <w:r w:rsidRPr="009C637A">
        <w:rPr>
          <w:sz w:val="22"/>
          <w:szCs w:val="22"/>
        </w:rPr>
        <w:t>.” Put units in parentheses</w:t>
      </w:r>
      <w:r w:rsidRPr="009C637A">
        <w:rPr>
          <w:rFonts w:hint="eastAsia"/>
          <w:sz w:val="22"/>
          <w:szCs w:val="22"/>
          <w:lang w:eastAsia="ja-JP"/>
        </w:rPr>
        <w:t xml:space="preserve"> or brackets</w:t>
      </w:r>
      <w:r w:rsidRPr="009C637A">
        <w:rPr>
          <w:sz w:val="22"/>
          <w:szCs w:val="22"/>
        </w:rPr>
        <w:t>. Do not label axes only with units. As in Fig. 1, for example, write “</w:t>
      </w:r>
      <w:r w:rsidRPr="009C637A">
        <w:rPr>
          <w:rFonts w:hint="eastAsia"/>
          <w:sz w:val="22"/>
          <w:szCs w:val="22"/>
          <w:lang w:eastAsia="ja-JP"/>
        </w:rPr>
        <w:t>Current</w:t>
      </w:r>
      <w:r w:rsidRPr="009C637A">
        <w:rPr>
          <w:sz w:val="22"/>
          <w:szCs w:val="22"/>
        </w:rPr>
        <w:t xml:space="preserve"> (A)” or “</w:t>
      </w:r>
      <w:r w:rsidRPr="009C637A">
        <w:rPr>
          <w:rFonts w:hint="eastAsia"/>
          <w:sz w:val="22"/>
          <w:szCs w:val="22"/>
          <w:lang w:eastAsia="ja-JP"/>
        </w:rPr>
        <w:t>Current</w:t>
      </w:r>
      <w:r w:rsidRPr="009C637A">
        <w:rPr>
          <w:sz w:val="22"/>
          <w:szCs w:val="22"/>
        </w:rPr>
        <w:t xml:space="preserve"> </w:t>
      </w:r>
      <w:r w:rsidRPr="009C637A">
        <w:rPr>
          <w:rFonts w:hint="eastAsia"/>
          <w:sz w:val="22"/>
          <w:szCs w:val="22"/>
          <w:lang w:eastAsia="ja-JP"/>
        </w:rPr>
        <w:t>[A]</w:t>
      </w:r>
      <w:r w:rsidRPr="009C637A">
        <w:rPr>
          <w:sz w:val="22"/>
          <w:szCs w:val="22"/>
        </w:rPr>
        <w:t>,” not just “A.”</w:t>
      </w:r>
    </w:p>
    <w:p w14:paraId="6AB27F99" w14:textId="77777777" w:rsidR="00F8546E" w:rsidRDefault="00F8546E" w:rsidP="00F8546E">
      <w:pPr>
        <w:ind w:firstLine="284"/>
        <w:jc w:val="both"/>
        <w:rPr>
          <w:rStyle w:val="BodyText2"/>
          <w:rFonts w:ascii="Times" w:hAnsi="Times"/>
          <w:color w:val="000000" w:themeColor="text1"/>
          <w:szCs w:val="20"/>
        </w:rPr>
      </w:pPr>
      <w:r>
        <w:rPr>
          <w:rStyle w:val="BodyText2"/>
          <w:rFonts w:ascii="Times" w:hAnsi="Times"/>
          <w:color w:val="000000" w:themeColor="text1"/>
          <w:szCs w:val="20"/>
        </w:rPr>
        <w:t xml:space="preserve"> </w:t>
      </w:r>
      <w:r w:rsidRPr="001F4C5C">
        <w:rPr>
          <w:rStyle w:val="BodyText2"/>
          <w:rFonts w:ascii="Times" w:hAnsi="Times"/>
          <w:color w:val="000000" w:themeColor="text1"/>
          <w:szCs w:val="20"/>
        </w:rPr>
        <w:t xml:space="preserve">When referencing your tables, </w:t>
      </w:r>
      <w:r>
        <w:rPr>
          <w:rStyle w:val="BodyText2"/>
          <w:rFonts w:ascii="Times" w:hAnsi="Times" w:hint="eastAsia"/>
          <w:color w:val="000000" w:themeColor="text1"/>
          <w:szCs w:val="20"/>
          <w:lang w:eastAsia="ja-JP"/>
        </w:rPr>
        <w:t>d</w:t>
      </w:r>
      <w:r w:rsidRPr="001F4C5C">
        <w:rPr>
          <w:rStyle w:val="BodyText2"/>
          <w:rFonts w:ascii="Times" w:hAnsi="Times"/>
          <w:color w:val="000000" w:themeColor="text1"/>
          <w:szCs w:val="20"/>
        </w:rPr>
        <w:t>o not abbreviate “Table.” Tables should be numbered with Roman Numerals.</w:t>
      </w:r>
    </w:p>
    <w:p w14:paraId="6AB27F9A" w14:textId="77777777" w:rsidR="00F8546E" w:rsidRPr="009C637A" w:rsidRDefault="00F8546E" w:rsidP="00F8546E">
      <w:pPr>
        <w:ind w:firstLine="284"/>
        <w:jc w:val="both"/>
        <w:rPr>
          <w:rStyle w:val="BodyText2"/>
          <w:rFonts w:ascii="Times" w:hAnsi="Times"/>
          <w:color w:val="000000" w:themeColor="text1"/>
          <w:sz w:val="8"/>
          <w:szCs w:val="6"/>
          <w:lang w:eastAsia="ja-JP"/>
        </w:rPr>
      </w:pPr>
    </w:p>
    <w:p w14:paraId="6AB27F9B" w14:textId="77777777" w:rsidR="00F8546E" w:rsidRDefault="00F8546E" w:rsidP="00F8546E">
      <w:pPr>
        <w:pStyle w:val="ISLH-Content"/>
        <w:jc w:val="center"/>
      </w:pPr>
      <w:r>
        <w:rPr>
          <w:rFonts w:eastAsia="MS Mincho"/>
          <w:noProof/>
          <w:color w:val="000000"/>
        </w:rPr>
        <w:drawing>
          <wp:inline distT="0" distB="0" distL="0" distR="0" wp14:anchorId="6AB27FEA" wp14:editId="6AB27FEB">
            <wp:extent cx="2952115" cy="1835459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83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27F9C" w14:textId="77777777" w:rsidR="00F8546E" w:rsidRDefault="00F8546E" w:rsidP="00F8546E">
      <w:pPr>
        <w:pStyle w:val="FootnoteText"/>
        <w:ind w:firstLine="0"/>
        <w:rPr>
          <w:lang w:eastAsia="ja-JP"/>
        </w:rPr>
      </w:pPr>
      <w:r>
        <w:t xml:space="preserve">Fig. 1. </w:t>
      </w:r>
      <w:r>
        <w:rPr>
          <w:rFonts w:hint="eastAsia"/>
          <w:lang w:eastAsia="ja-JP"/>
        </w:rPr>
        <w:t xml:space="preserve"> FDTD-computed c</w:t>
      </w:r>
      <w:r>
        <w:t xml:space="preserve">urrent waveforms for </w:t>
      </w:r>
      <w:r>
        <w:rPr>
          <w:rFonts w:hint="eastAsia"/>
          <w:lang w:eastAsia="ja-JP"/>
        </w:rPr>
        <w:t>a 40-cm high</w:t>
      </w:r>
      <w:r w:rsidRPr="005A34E0">
        <w:t xml:space="preserve"> conical conductor excited at its base at different vertical distances from the current source. </w:t>
      </w:r>
      <w:r>
        <w:t xml:space="preserve">Note that “Fig.” is abbreviated. There is a period after the figure number, followed by two spaces. </w:t>
      </w:r>
    </w:p>
    <w:p w14:paraId="6AB27F9D" w14:textId="77777777" w:rsidR="00F8546E" w:rsidRDefault="00F8546E" w:rsidP="006D2DE8">
      <w:pPr>
        <w:pStyle w:val="ISLH-Content"/>
        <w:ind w:firstLine="357"/>
      </w:pPr>
    </w:p>
    <w:p w14:paraId="6AB27F9E" w14:textId="77777777" w:rsidR="00F8546E" w:rsidRDefault="00F8546E" w:rsidP="00F8546E">
      <w:pPr>
        <w:pStyle w:val="TableTitle"/>
      </w:pPr>
      <w:r>
        <w:t>T</w:t>
      </w:r>
      <w:r>
        <w:rPr>
          <w:rFonts w:hint="eastAsia"/>
          <w:lang w:eastAsia="ja-JP"/>
        </w:rPr>
        <w:t>able</w:t>
      </w:r>
      <w:r>
        <w:t xml:space="preserve"> I</w:t>
      </w:r>
      <w:r w:rsidR="003F36AB">
        <w:t>I</w:t>
      </w:r>
    </w:p>
    <w:p w14:paraId="6AB27F9F" w14:textId="77777777" w:rsidR="00F8546E" w:rsidRDefault="00F8546E" w:rsidP="00F8546E">
      <w:pPr>
        <w:pStyle w:val="TableTitle"/>
      </w:pPr>
      <w:r>
        <w:t>Units for Magnetic Properties</w:t>
      </w: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2532"/>
      </w:tblGrid>
      <w:tr w:rsidR="00F8546E" w14:paraId="6AB27FA4" w14:textId="77777777" w:rsidTr="004D2744">
        <w:trPr>
          <w:trHeight w:val="440"/>
        </w:trPr>
        <w:tc>
          <w:tcPr>
            <w:tcW w:w="720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B27FA0" w14:textId="77777777" w:rsidR="00F8546E" w:rsidRDefault="00F8546E" w:rsidP="004D2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</w:t>
            </w:r>
          </w:p>
        </w:tc>
        <w:tc>
          <w:tcPr>
            <w:tcW w:w="1710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B27FA1" w14:textId="77777777" w:rsidR="00F8546E" w:rsidRDefault="00F8546E" w:rsidP="004D2744">
            <w:pPr>
              <w:pStyle w:val="TableTitle"/>
              <w:rPr>
                <w:smallCaps w:val="0"/>
              </w:rPr>
            </w:pPr>
            <w:r>
              <w:rPr>
                <w:smallCaps w:val="0"/>
              </w:rPr>
              <w:t>Quantity</w:t>
            </w:r>
          </w:p>
        </w:tc>
        <w:tc>
          <w:tcPr>
            <w:tcW w:w="2532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B27FA2" w14:textId="77777777" w:rsidR="00F8546E" w:rsidRDefault="00F8546E" w:rsidP="004D2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Conversion from Gaussian and</w:t>
            </w:r>
          </w:p>
          <w:p w14:paraId="6AB27FA3" w14:textId="77777777" w:rsidR="00F8546E" w:rsidRDefault="00F8546E" w:rsidP="004D27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CGS EMU to SI </w:t>
            </w:r>
            <w:r>
              <w:rPr>
                <w:sz w:val="16"/>
                <w:szCs w:val="16"/>
                <w:vertAlign w:val="superscript"/>
              </w:rPr>
              <w:t>a</w:t>
            </w:r>
          </w:p>
        </w:tc>
      </w:tr>
      <w:tr w:rsidR="00F8546E" w14:paraId="6AB27FA8" w14:textId="77777777" w:rsidTr="004D274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B27FA5" w14:textId="77777777" w:rsidR="00F8546E" w:rsidRDefault="00F8546E" w:rsidP="004D2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46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B27FA6" w14:textId="77777777" w:rsidR="00F8546E" w:rsidRDefault="00F8546E" w:rsidP="004D2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magnetic flux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14:paraId="6AB27FA7" w14:textId="77777777" w:rsidR="00F8546E" w:rsidRDefault="00F8546E" w:rsidP="004D2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Mx </w:t>
            </w: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8</w:t>
            </w:r>
            <w:r>
              <w:rPr>
                <w:sz w:val="16"/>
                <w:szCs w:val="16"/>
              </w:rPr>
              <w:t xml:space="preserve"> Wb =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8</w:t>
            </w:r>
            <w:r>
              <w:rPr>
                <w:sz w:val="16"/>
                <w:szCs w:val="16"/>
              </w:rPr>
              <w:t xml:space="preserve"> V·s</w:t>
            </w:r>
          </w:p>
        </w:tc>
      </w:tr>
      <w:tr w:rsidR="00F8546E" w14:paraId="6AB27FAD" w14:textId="77777777" w:rsidTr="004D274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B27FA9" w14:textId="77777777" w:rsidR="00F8546E" w:rsidRDefault="00F8546E" w:rsidP="004D2744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B27FAA" w14:textId="77777777" w:rsidR="00F8546E" w:rsidRDefault="00F8546E" w:rsidP="004D2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magnetic flux density, </w:t>
            </w:r>
          </w:p>
          <w:p w14:paraId="6AB27FAB" w14:textId="77777777" w:rsidR="00F8546E" w:rsidRDefault="00F8546E" w:rsidP="004D2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magnetic induction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14:paraId="6AB27FAC" w14:textId="77777777" w:rsidR="00F8546E" w:rsidRDefault="00F8546E" w:rsidP="004D2744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 xml:space="preserve">1 G </w:t>
            </w: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T =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4</w:t>
            </w:r>
            <w:r>
              <w:rPr>
                <w:sz w:val="16"/>
                <w:szCs w:val="16"/>
              </w:rPr>
              <w:t xml:space="preserve"> Wb/m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F8546E" w14:paraId="6AB27FB1" w14:textId="77777777" w:rsidTr="004D2744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B27FAE" w14:textId="77777777" w:rsidR="00F8546E" w:rsidRDefault="00F8546E" w:rsidP="004D2744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H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AB27FAF" w14:textId="77777777" w:rsidR="00F8546E" w:rsidRDefault="00F8546E" w:rsidP="004D2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magnetic field strength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14:paraId="6AB27FB0" w14:textId="77777777" w:rsidR="00F8546E" w:rsidRDefault="00F8546E" w:rsidP="004D2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Oe </w:t>
            </w: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/(4</w:t>
            </w:r>
            <w:r>
              <w:rPr>
                <w:sz w:val="16"/>
                <w:szCs w:val="16"/>
              </w:rPr>
              <w:sym w:font="Symbol" w:char="F070"/>
            </w:r>
            <w:r>
              <w:rPr>
                <w:sz w:val="16"/>
                <w:szCs w:val="16"/>
              </w:rPr>
              <w:t>) A/m</w:t>
            </w:r>
          </w:p>
        </w:tc>
      </w:tr>
      <w:tr w:rsidR="00F8546E" w14:paraId="6AB27FB6" w14:textId="77777777" w:rsidTr="004D2744">
        <w:trPr>
          <w:trHeight w:val="279"/>
        </w:trPr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AB27FB2" w14:textId="77777777" w:rsidR="00F8546E" w:rsidRDefault="00F8546E" w:rsidP="004D2744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sym w:font="Symbol" w:char="F06D"/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AB27FB3" w14:textId="77777777" w:rsidR="00F8546E" w:rsidRDefault="00F8546E" w:rsidP="004D2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permeability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6AB27FB4" w14:textId="77777777" w:rsidR="00F8546E" w:rsidRDefault="00F8546E" w:rsidP="004D2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sym w:font="Symbol" w:char="F0AE"/>
            </w:r>
            <w:r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sym w:font="Symbol" w:char="F07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4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7</w:t>
            </w:r>
            <w:r>
              <w:rPr>
                <w:sz w:val="16"/>
                <w:szCs w:val="16"/>
              </w:rPr>
              <w:t xml:space="preserve"> H/m </w:t>
            </w:r>
          </w:p>
          <w:p w14:paraId="6AB27FB5" w14:textId="77777777" w:rsidR="00F8546E" w:rsidRDefault="00F8546E" w:rsidP="004D27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= 4</w:t>
            </w:r>
            <w:r>
              <w:rPr>
                <w:sz w:val="16"/>
                <w:szCs w:val="16"/>
              </w:rPr>
              <w:sym w:font="Symbol" w:char="F070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sym w:font="Symbol" w:char="F0B4"/>
            </w:r>
            <w:r>
              <w:rPr>
                <w:sz w:val="16"/>
                <w:szCs w:val="16"/>
              </w:rPr>
              <w:t xml:space="preserve"> 10</w:t>
            </w:r>
            <w:r>
              <w:rPr>
                <w:sz w:val="16"/>
                <w:szCs w:val="16"/>
                <w:vertAlign w:val="superscript"/>
              </w:rPr>
              <w:sym w:font="Symbol" w:char="F02D"/>
            </w:r>
            <w:r>
              <w:rPr>
                <w:sz w:val="16"/>
                <w:szCs w:val="16"/>
                <w:vertAlign w:val="superscript"/>
              </w:rPr>
              <w:t>7</w:t>
            </w:r>
            <w:r>
              <w:rPr>
                <w:sz w:val="16"/>
                <w:szCs w:val="16"/>
              </w:rPr>
              <w:t xml:space="preserve"> Wb/(</w:t>
            </w:r>
            <w:proofErr w:type="spellStart"/>
            <w:r>
              <w:rPr>
                <w:sz w:val="16"/>
                <w:szCs w:val="16"/>
              </w:rPr>
              <w:t>A·m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</w:tbl>
    <w:p w14:paraId="6AB27FB7" w14:textId="77777777" w:rsidR="00F8546E" w:rsidRDefault="00F8546E" w:rsidP="00F8546E">
      <w:pPr>
        <w:pStyle w:val="FootnoteText"/>
      </w:pPr>
      <w:r>
        <w:t xml:space="preserve">Vertical lines are optional in tables. Statements that serve as captions for the entire table do not need footnote letters. </w:t>
      </w:r>
    </w:p>
    <w:p w14:paraId="6AB27FB8" w14:textId="77777777" w:rsidR="00707D8B" w:rsidRPr="009C637A" w:rsidRDefault="00707D8B" w:rsidP="00707D8B">
      <w:pPr>
        <w:pStyle w:val="ISLH-Content"/>
        <w:rPr>
          <w:sz w:val="12"/>
          <w:szCs w:val="12"/>
        </w:rPr>
      </w:pPr>
    </w:p>
    <w:p w14:paraId="6AB27FB9" w14:textId="77777777" w:rsidR="00F64B50" w:rsidRDefault="00F64B50" w:rsidP="00F64B50">
      <w:pPr>
        <w:pStyle w:val="ISLH-Section"/>
        <w:numPr>
          <w:ilvl w:val="0"/>
          <w:numId w:val="2"/>
        </w:numPr>
      </w:pPr>
      <w:r>
        <w:t>Conclusion</w:t>
      </w:r>
    </w:p>
    <w:p w14:paraId="6AB27FBA" w14:textId="7CF017F5" w:rsidR="00F8546E" w:rsidRPr="00CD684F" w:rsidRDefault="00F8546E" w:rsidP="00F8546E">
      <w:pPr>
        <w:pStyle w:val="Heading2"/>
        <w:numPr>
          <w:ilvl w:val="0"/>
          <w:numId w:val="0"/>
        </w:numPr>
        <w:ind w:firstLineChars="100" w:firstLine="200"/>
        <w:jc w:val="thaiDistribute"/>
        <w:rPr>
          <w:i w:val="0"/>
        </w:rPr>
      </w:pPr>
      <w:r>
        <w:rPr>
          <w:i w:val="0"/>
        </w:rPr>
        <w:t xml:space="preserve">   </w:t>
      </w:r>
      <w:r w:rsidRPr="00CD684F">
        <w:rPr>
          <w:i w:val="0"/>
        </w:rPr>
        <w:t>A conclusion might ela</w:t>
      </w:r>
      <w:r>
        <w:rPr>
          <w:i w:val="0"/>
        </w:rPr>
        <w:t xml:space="preserve">borate on the importance of the </w:t>
      </w:r>
      <w:r w:rsidRPr="00CD684F">
        <w:rPr>
          <w:i w:val="0"/>
        </w:rPr>
        <w:t>work.</w:t>
      </w:r>
      <w:r>
        <w:rPr>
          <w:i w:val="0"/>
        </w:rPr>
        <w:t xml:space="preserve"> </w:t>
      </w:r>
      <w:r w:rsidRPr="005A4B66">
        <w:rPr>
          <w:i w:val="0"/>
        </w:rPr>
        <w:t xml:space="preserve">Submit your full paper in pdf format by </w:t>
      </w:r>
      <w:r w:rsidR="00434FAA">
        <w:rPr>
          <w:i w:val="0"/>
        </w:rPr>
        <w:br/>
      </w:r>
      <w:r w:rsidR="00966B11">
        <w:rPr>
          <w:i w:val="0"/>
          <w:color w:val="FF0000"/>
        </w:rPr>
        <w:t>January</w:t>
      </w:r>
      <w:r w:rsidR="008E5319">
        <w:rPr>
          <w:i w:val="0"/>
          <w:color w:val="FF0000"/>
        </w:rPr>
        <w:t xml:space="preserve"> </w:t>
      </w:r>
      <w:r w:rsidR="00966B11">
        <w:rPr>
          <w:i w:val="0"/>
          <w:color w:val="FF0000"/>
        </w:rPr>
        <w:t>19</w:t>
      </w:r>
      <w:r w:rsidR="008E5319">
        <w:rPr>
          <w:i w:val="0"/>
          <w:color w:val="FF0000"/>
        </w:rPr>
        <w:t>, 20</w:t>
      </w:r>
      <w:r w:rsidR="00434FAA">
        <w:rPr>
          <w:i w:val="0"/>
          <w:color w:val="FF0000"/>
        </w:rPr>
        <w:t>2</w:t>
      </w:r>
      <w:r w:rsidR="00966B11">
        <w:rPr>
          <w:i w:val="0"/>
          <w:color w:val="FF0000"/>
        </w:rPr>
        <w:t>4</w:t>
      </w:r>
      <w:r w:rsidRPr="005A4B66">
        <w:rPr>
          <w:i w:val="0"/>
        </w:rPr>
        <w:t>.</w:t>
      </w:r>
    </w:p>
    <w:p w14:paraId="6AB27FBB" w14:textId="77777777" w:rsidR="00F8546E" w:rsidRPr="00F8546E" w:rsidRDefault="00F8546E" w:rsidP="00F8546E">
      <w:pPr>
        <w:pStyle w:val="ReferenceHead"/>
        <w:jc w:val="both"/>
        <w:rPr>
          <w:b/>
          <w:bCs/>
          <w:sz w:val="22"/>
          <w:szCs w:val="22"/>
        </w:rPr>
      </w:pPr>
      <w:r w:rsidRPr="00F8546E">
        <w:rPr>
          <w:b/>
          <w:bCs/>
          <w:sz w:val="22"/>
          <w:szCs w:val="22"/>
        </w:rPr>
        <w:t>Appendix</w:t>
      </w:r>
    </w:p>
    <w:p w14:paraId="6AB27FBC" w14:textId="77777777" w:rsidR="00F8546E" w:rsidRDefault="00F8546E" w:rsidP="00F8546E">
      <w:pPr>
        <w:pStyle w:val="Text"/>
      </w:pPr>
      <w:r>
        <w:t xml:space="preserve">  Appendixes, if needed, appear before the acknowledgment.</w:t>
      </w:r>
    </w:p>
    <w:p w14:paraId="6AB27FBD" w14:textId="77777777" w:rsidR="00F8546E" w:rsidRPr="00F8546E" w:rsidRDefault="00F8546E" w:rsidP="00F8546E">
      <w:pPr>
        <w:pStyle w:val="Style1"/>
        <w:jc w:val="both"/>
        <w:rPr>
          <w:b/>
          <w:bCs/>
          <w:sz w:val="22"/>
          <w:szCs w:val="22"/>
        </w:rPr>
      </w:pPr>
      <w:r w:rsidRPr="00F8546E">
        <w:rPr>
          <w:b/>
          <w:bCs/>
          <w:sz w:val="22"/>
          <w:szCs w:val="22"/>
        </w:rPr>
        <w:t>Acknowledgment</w:t>
      </w:r>
    </w:p>
    <w:p w14:paraId="6AB27FBE" w14:textId="77777777" w:rsidR="00F8546E" w:rsidRDefault="00F8546E" w:rsidP="00F8546E">
      <w:pPr>
        <w:pStyle w:val="Text"/>
      </w:pPr>
      <w:r>
        <w:t xml:space="preserve">  The preferred spelling of the word “acknowledgment” in American English is without an “e” after the “g.” Use the singular heading even if you have many acknowledgments. </w:t>
      </w:r>
    </w:p>
    <w:p w14:paraId="6AB27FBF" w14:textId="77777777" w:rsidR="00434FAA" w:rsidRPr="00104BB0" w:rsidRDefault="00434FAA" w:rsidP="00F8546E">
      <w:pPr>
        <w:pStyle w:val="Text"/>
        <w:rPr>
          <w:bCs/>
        </w:rPr>
      </w:pPr>
    </w:p>
    <w:p w14:paraId="6AB27FC0" w14:textId="77777777" w:rsidR="00F64B50" w:rsidRDefault="00F64B50" w:rsidP="00F64B50">
      <w:pPr>
        <w:pStyle w:val="ISLH-Section"/>
      </w:pPr>
      <w:r>
        <w:t>References</w:t>
      </w:r>
    </w:p>
    <w:p w14:paraId="6AB27FC1" w14:textId="77777777" w:rsidR="00F8546E" w:rsidRDefault="00F8546E" w:rsidP="00F8546E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Basic format for books:</w:t>
      </w:r>
    </w:p>
    <w:p w14:paraId="6AB27FC2" w14:textId="77777777" w:rsidR="00F8546E" w:rsidRPr="005A4B66" w:rsidRDefault="00F8546E" w:rsidP="00F8546E">
      <w:pPr>
        <w:pStyle w:val="References"/>
      </w:pPr>
      <w:r>
        <w:t xml:space="preserve">J. K. Author, “Title of chapter in the book,” in </w:t>
      </w:r>
      <w:r>
        <w:rPr>
          <w:rFonts w:ascii="TimesNewRomanPS-ItalicMT" w:hAnsi="TimesNewRomanPS-ItalicMT" w:cs="TimesNewRomanPS-ItalicMT"/>
          <w:i/>
          <w:iCs/>
        </w:rPr>
        <w:t xml:space="preserve">Title of His Published Book, </w:t>
      </w:r>
      <w:proofErr w:type="spellStart"/>
      <w:r>
        <w:rPr>
          <w:rFonts w:ascii="TimesNewRomanPS-ItalicMT" w:hAnsi="TimesNewRomanPS-ItalicMT" w:cs="TimesNewRomanPS-ItalicMT"/>
          <w:i/>
          <w:iCs/>
        </w:rPr>
        <w:t>x</w:t>
      </w:r>
      <w:r>
        <w:t>th</w:t>
      </w:r>
      <w:proofErr w:type="spellEnd"/>
      <w:r>
        <w:t xml:space="preserve"> ed. City of Publisher, Country if not</w:t>
      </w:r>
      <w:r>
        <w:rPr>
          <w:rFonts w:hint="eastAsia"/>
          <w:lang w:eastAsia="ja-JP"/>
        </w:rPr>
        <w:t xml:space="preserve"> </w:t>
      </w:r>
      <w:r>
        <w:t xml:space="preserve">USA: Abbrev. of Publisher, year, </w:t>
      </w:r>
      <w:proofErr w:type="spellStart"/>
      <w:r>
        <w:t>ch.</w:t>
      </w:r>
      <w:proofErr w:type="spellEnd"/>
      <w:r>
        <w:t xml:space="preserve"> </w:t>
      </w:r>
      <w:r w:rsidRPr="005A4B66">
        <w:rPr>
          <w:rFonts w:ascii="TimesNewRomanPS-ItalicMT" w:hAnsi="TimesNewRomanPS-ItalicMT" w:cs="TimesNewRomanPS-ItalicMT"/>
          <w:i/>
          <w:iCs/>
        </w:rPr>
        <w:t>x</w:t>
      </w:r>
      <w:r>
        <w:t xml:space="preserve">, sec. </w:t>
      </w:r>
      <w:r w:rsidRPr="005A4B66">
        <w:rPr>
          <w:rFonts w:ascii="TimesNewRomanPS-ItalicMT" w:hAnsi="TimesNewRomanPS-ItalicMT" w:cs="TimesNewRomanPS-ItalicMT"/>
          <w:i/>
          <w:iCs/>
        </w:rPr>
        <w:t>x</w:t>
      </w:r>
      <w:r>
        <w:t xml:space="preserve">, pp. </w:t>
      </w:r>
      <w:r w:rsidRPr="005A4B66">
        <w:rPr>
          <w:rFonts w:ascii="TimesNewRomanPS-ItalicMT" w:hAnsi="TimesNewRomanPS-ItalicMT" w:cs="TimesNewRomanPS-ItalicMT"/>
          <w:i/>
          <w:iCs/>
        </w:rPr>
        <w:t>xxx–xxx.</w:t>
      </w:r>
    </w:p>
    <w:p w14:paraId="6AB27FC3" w14:textId="77777777" w:rsidR="00F8546E" w:rsidRDefault="00F8546E" w:rsidP="00F8546E">
      <w:pPr>
        <w:widowControl w:val="0"/>
        <w:autoSpaceDE w:val="0"/>
        <w:autoSpaceDN w:val="0"/>
        <w:adjustRightInd w:val="0"/>
        <w:ind w:right="-20"/>
        <w:rPr>
          <w:color w:val="000000"/>
        </w:rPr>
      </w:pPr>
      <w:r>
        <w:rPr>
          <w:i/>
          <w:iCs/>
          <w:color w:val="000000"/>
        </w:rPr>
        <w:t>Examples:</w:t>
      </w:r>
    </w:p>
    <w:p w14:paraId="6AB27FC4" w14:textId="77777777" w:rsidR="00F8546E" w:rsidRDefault="00F8546E" w:rsidP="00F8546E">
      <w:pPr>
        <w:pStyle w:val="References"/>
      </w:pPr>
      <w:r>
        <w:t>G.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>o</w:t>
      </w:r>
      <w:r>
        <w:t>un</w:t>
      </w:r>
      <w:r>
        <w:rPr>
          <w:spacing w:val="1"/>
        </w:rPr>
        <w:t>g</w:t>
      </w:r>
      <w:r>
        <w:t>,</w:t>
      </w:r>
      <w:r>
        <w:rPr>
          <w:spacing w:val="1"/>
        </w:rPr>
        <w:t xml:space="preserve"> </w:t>
      </w:r>
      <w:r>
        <w:t>“Sy</w:t>
      </w:r>
      <w:r>
        <w:rPr>
          <w:spacing w:val="1"/>
        </w:rPr>
        <w:t>n</w:t>
      </w:r>
      <w:r>
        <w:t>t</w:t>
      </w:r>
      <w:r>
        <w:rPr>
          <w:spacing w:val="1"/>
        </w:rPr>
        <w:t>h</w:t>
      </w:r>
      <w:r>
        <w:t>etic</w:t>
      </w:r>
      <w:r>
        <w:rPr>
          <w:spacing w:val="1"/>
        </w:rPr>
        <w:t xml:space="preserve"> </w:t>
      </w:r>
      <w:r>
        <w:t>str</w:t>
      </w:r>
      <w:r>
        <w:rPr>
          <w:spacing w:val="1"/>
        </w:rPr>
        <w:t>u</w:t>
      </w:r>
      <w:r>
        <w:t>ct</w:t>
      </w:r>
      <w:r>
        <w:rPr>
          <w:spacing w:val="1"/>
        </w:rPr>
        <w:t>ur</w:t>
      </w:r>
      <w:r>
        <w:t>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1"/>
        </w:rPr>
        <w:t>u</w:t>
      </w:r>
      <w:r>
        <w:t>str</w:t>
      </w:r>
      <w:r>
        <w:rPr>
          <w:spacing w:val="-2"/>
        </w:rPr>
        <w:t>i</w:t>
      </w:r>
      <w:r>
        <w:t>al</w:t>
      </w:r>
      <w:r>
        <w:rPr>
          <w:spacing w:val="1"/>
        </w:rPr>
        <w:t xml:space="preserve"> p</w:t>
      </w:r>
      <w:r>
        <w:t>lastics,”</w:t>
      </w:r>
      <w:r>
        <w:rPr>
          <w:spacing w:val="1"/>
        </w:rPr>
        <w:t xml:space="preserve"> </w:t>
      </w:r>
      <w:r>
        <w:t xml:space="preserve">in </w:t>
      </w:r>
      <w:r>
        <w:rPr>
          <w:i/>
          <w:iCs/>
        </w:rPr>
        <w:t>Pl</w:t>
      </w:r>
      <w:r>
        <w:rPr>
          <w:i/>
          <w:iCs/>
          <w:spacing w:val="1"/>
        </w:rPr>
        <w:t>a</w:t>
      </w:r>
      <w:r>
        <w:rPr>
          <w:i/>
          <w:iCs/>
        </w:rPr>
        <w:t xml:space="preserve">stics, </w:t>
      </w:r>
      <w:r>
        <w:t>2</w:t>
      </w:r>
      <w:r>
        <w:rPr>
          <w:spacing w:val="-1"/>
        </w:rPr>
        <w:t>n</w:t>
      </w:r>
      <w:r>
        <w:t>d ed</w:t>
      </w:r>
      <w:r>
        <w:rPr>
          <w:spacing w:val="-1"/>
        </w:rPr>
        <w:t>.</w:t>
      </w:r>
      <w:r>
        <w:t xml:space="preserve">, vol. </w:t>
      </w:r>
      <w:r>
        <w:rPr>
          <w:spacing w:val="-1"/>
        </w:rPr>
        <w:t>3</w:t>
      </w:r>
      <w:r>
        <w:t>, J. Pet</w:t>
      </w:r>
      <w:r>
        <w:rPr>
          <w:spacing w:val="-1"/>
        </w:rPr>
        <w:t>e</w:t>
      </w:r>
      <w:r>
        <w:t xml:space="preserve">rs, </w:t>
      </w:r>
      <w:r>
        <w:rPr>
          <w:spacing w:val="-1"/>
        </w:rPr>
        <w:t>E</w:t>
      </w:r>
      <w:r>
        <w:rPr>
          <w:spacing w:val="1"/>
        </w:rPr>
        <w:t>d</w:t>
      </w:r>
      <w:r>
        <w:t>. N</w:t>
      </w:r>
      <w:r>
        <w:rPr>
          <w:spacing w:val="-1"/>
        </w:rPr>
        <w:t>e</w:t>
      </w:r>
      <w:r>
        <w:t>w Y</w:t>
      </w:r>
      <w:r>
        <w:rPr>
          <w:spacing w:val="-1"/>
        </w:rPr>
        <w:t>o</w:t>
      </w:r>
      <w:r>
        <w:t>r</w:t>
      </w:r>
      <w:r>
        <w:rPr>
          <w:spacing w:val="-1"/>
        </w:rPr>
        <w:t>k</w:t>
      </w:r>
      <w:r>
        <w:t>: McGraw-Hill,</w:t>
      </w:r>
      <w:r>
        <w:rPr>
          <w:spacing w:val="-1"/>
        </w:rPr>
        <w:t xml:space="preserve"> </w:t>
      </w:r>
      <w:r>
        <w:rPr>
          <w:spacing w:val="1"/>
        </w:rPr>
        <w:t>1</w:t>
      </w:r>
      <w:r>
        <w:t>96</w:t>
      </w:r>
      <w:r>
        <w:rPr>
          <w:spacing w:val="1"/>
        </w:rPr>
        <w:t>4</w:t>
      </w:r>
      <w:r>
        <w:t>,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p</w:t>
      </w:r>
      <w:r>
        <w:t>.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>5</w:t>
      </w:r>
      <w:r>
        <w:t>–6</w:t>
      </w:r>
      <w:r>
        <w:rPr>
          <w:spacing w:val="1"/>
        </w:rPr>
        <w:t>4</w:t>
      </w:r>
      <w:r>
        <w:t>.</w:t>
      </w:r>
    </w:p>
    <w:p w14:paraId="6AB27FC5" w14:textId="77777777" w:rsidR="00F8546E" w:rsidRDefault="00F8546E" w:rsidP="00F8546E">
      <w:pPr>
        <w:widowControl w:val="0"/>
        <w:autoSpaceDE w:val="0"/>
        <w:autoSpaceDN w:val="0"/>
        <w:adjustRightInd w:val="0"/>
        <w:spacing w:before="1" w:line="230" w:lineRule="exact"/>
        <w:ind w:left="361" w:right="250" w:hanging="360"/>
        <w:rPr>
          <w:color w:val="000000"/>
        </w:rPr>
      </w:pPr>
    </w:p>
    <w:p w14:paraId="6AB27FC6" w14:textId="77777777" w:rsidR="00F8546E" w:rsidRDefault="00F8546E" w:rsidP="00F8546E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Basic format for periodicals:</w:t>
      </w:r>
    </w:p>
    <w:p w14:paraId="6AB27FC7" w14:textId="77777777" w:rsidR="00F8546E" w:rsidRDefault="00F8546E" w:rsidP="00F8546E">
      <w:pPr>
        <w:pStyle w:val="References"/>
      </w:pPr>
      <w:r>
        <w:t xml:space="preserve">J. K. Author, “Name of paper,” </w:t>
      </w:r>
      <w:r>
        <w:rPr>
          <w:rFonts w:ascii="TimesNewRomanPS-ItalicMT" w:hAnsi="TimesNewRomanPS-ItalicMT" w:cs="TimesNewRomanPS-ItalicMT"/>
          <w:i/>
          <w:iCs/>
        </w:rPr>
        <w:t>Abbrev. Title of Periodical</w:t>
      </w:r>
      <w:r>
        <w:t xml:space="preserve">, vol. </w:t>
      </w:r>
      <w:r>
        <w:rPr>
          <w:rFonts w:ascii="TimesNewRomanPS-ItalicMT" w:hAnsi="TimesNewRomanPS-ItalicMT" w:cs="TimesNewRomanPS-ItalicMT"/>
          <w:i/>
          <w:iCs/>
        </w:rPr>
        <w:t xml:space="preserve">x, </w:t>
      </w:r>
      <w:r>
        <w:t xml:space="preserve">no. </w:t>
      </w:r>
      <w:r>
        <w:rPr>
          <w:rFonts w:ascii="TimesNewRomanPS-ItalicMT" w:hAnsi="TimesNewRomanPS-ItalicMT" w:cs="TimesNewRomanPS-ItalicMT"/>
          <w:i/>
          <w:iCs/>
        </w:rPr>
        <w:t xml:space="preserve">x, </w:t>
      </w:r>
      <w:r>
        <w:t>pp</w:t>
      </w:r>
      <w:r>
        <w:rPr>
          <w:rFonts w:ascii="TimesNewRomanPS-ItalicMT" w:hAnsi="TimesNewRomanPS-ItalicMT" w:cs="TimesNewRomanPS-ItalicMT"/>
          <w:i/>
          <w:iCs/>
        </w:rPr>
        <w:t xml:space="preserve">. xxx-xxx, </w:t>
      </w:r>
      <w:r>
        <w:t>Abbrev. Month, year.</w:t>
      </w:r>
    </w:p>
    <w:p w14:paraId="6AB27FC8" w14:textId="77777777" w:rsidR="00F8546E" w:rsidRPr="00A472F1" w:rsidRDefault="00F8546E" w:rsidP="00F8546E">
      <w:pPr>
        <w:autoSpaceDE w:val="0"/>
        <w:autoSpaceDN w:val="0"/>
        <w:adjustRightInd w:val="0"/>
        <w:rPr>
          <w:rFonts w:ascii="TimesNewRomanPSMT" w:hAnsi="TimesNewRomanPSMT" w:cs="TimesNewRomanPSMT"/>
          <w:i/>
        </w:rPr>
      </w:pPr>
      <w:r>
        <w:rPr>
          <w:rFonts w:ascii="TimesNewRomanPSMT" w:hAnsi="TimesNewRomanPSMT" w:cs="TimesNewRomanPSMT"/>
          <w:i/>
        </w:rPr>
        <w:t>E</w:t>
      </w:r>
      <w:r w:rsidRPr="00A472F1">
        <w:rPr>
          <w:rFonts w:ascii="TimesNewRomanPSMT" w:hAnsi="TimesNewRomanPSMT" w:cs="TimesNewRomanPSMT"/>
          <w:i/>
        </w:rPr>
        <w:t>xamples</w:t>
      </w:r>
      <w:r>
        <w:rPr>
          <w:rFonts w:ascii="TimesNewRomanPSMT" w:hAnsi="TimesNewRomanPSMT" w:cs="TimesNewRomanPSMT"/>
          <w:i/>
        </w:rPr>
        <w:t>:</w:t>
      </w:r>
    </w:p>
    <w:p w14:paraId="6AB27FC9" w14:textId="77777777" w:rsidR="00F8546E" w:rsidRPr="007F7AA6" w:rsidRDefault="00F8546E" w:rsidP="00F8546E">
      <w:pPr>
        <w:pStyle w:val="References"/>
      </w:pPr>
      <w:r w:rsidRPr="007F7AA6">
        <w:t xml:space="preserve">J. U. Duncombe, “Infrared navigation—Part I: An assessment </w:t>
      </w:r>
      <w:r>
        <w:br/>
      </w:r>
      <w:r w:rsidRPr="007F7AA6">
        <w:t xml:space="preserve">of feasibility,” </w:t>
      </w:r>
      <w:r w:rsidRPr="00B65BD3">
        <w:rPr>
          <w:i/>
        </w:rPr>
        <w:t>IEEE Trans. Electron Devices</w:t>
      </w:r>
      <w:r w:rsidRPr="007F7AA6">
        <w:t xml:space="preserve">, vol. ED-11, </w:t>
      </w:r>
      <w:r>
        <w:t xml:space="preserve">no. 1, </w:t>
      </w:r>
      <w:r w:rsidRPr="007F7AA6">
        <w:t>pp. 34–39, Jan. 1959.</w:t>
      </w:r>
    </w:p>
    <w:p w14:paraId="6AB27FCA" w14:textId="77777777" w:rsidR="00F8546E" w:rsidRDefault="00F8546E" w:rsidP="00F8546E">
      <w:pPr>
        <w:widowControl w:val="0"/>
        <w:autoSpaceDE w:val="0"/>
        <w:autoSpaceDN w:val="0"/>
        <w:adjustRightInd w:val="0"/>
        <w:spacing w:line="229" w:lineRule="exact"/>
        <w:ind w:left="361" w:right="-20"/>
        <w:rPr>
          <w:color w:val="000000"/>
        </w:rPr>
      </w:pPr>
    </w:p>
    <w:p w14:paraId="6AB27FCB" w14:textId="77777777" w:rsidR="00F8546E" w:rsidRDefault="00F8546E" w:rsidP="00F8546E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Basic format for reports:</w:t>
      </w:r>
    </w:p>
    <w:p w14:paraId="6AB27FCC" w14:textId="77777777" w:rsidR="00F8546E" w:rsidRDefault="00F8546E" w:rsidP="00F8546E">
      <w:pPr>
        <w:pStyle w:val="References"/>
      </w:pPr>
      <w:r>
        <w:t xml:space="preserve">J. K. Author, “Title of report,” Abbrev. Name of Co., City of Co., Abbrev. State, Rep. </w:t>
      </w:r>
      <w:r>
        <w:rPr>
          <w:rFonts w:ascii="TimesNewRomanPS-ItalicMT" w:hAnsi="TimesNewRomanPS-ItalicMT" w:cs="TimesNewRomanPS-ItalicMT"/>
          <w:i/>
          <w:iCs/>
        </w:rPr>
        <w:t>xxx</w:t>
      </w:r>
      <w:r>
        <w:t>, year.</w:t>
      </w:r>
    </w:p>
    <w:p w14:paraId="6AB27FCD" w14:textId="77777777" w:rsidR="00F8546E" w:rsidRDefault="00F8546E" w:rsidP="00F8546E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Examples:</w:t>
      </w:r>
    </w:p>
    <w:p w14:paraId="6AB27FCE" w14:textId="77777777" w:rsidR="00F8546E" w:rsidRDefault="00F8546E" w:rsidP="00F8546E">
      <w:pPr>
        <w:pStyle w:val="References"/>
      </w:pPr>
      <w:r>
        <w:t>E. E. Reber, R. L. Michell, and C. J. Carter, “Oxygen absorption in the earth’s atmosphere,” Aerospace Corp., Los Angeles, CA, Tech. Rep. TR-0200 (4230-46)-3, Nov. 1988.</w:t>
      </w:r>
    </w:p>
    <w:p w14:paraId="6AB27FCF" w14:textId="77777777" w:rsidR="00F8546E" w:rsidRDefault="00F8546E" w:rsidP="00F8546E">
      <w:pPr>
        <w:pStyle w:val="References"/>
        <w:numPr>
          <w:ilvl w:val="0"/>
          <w:numId w:val="0"/>
        </w:numPr>
        <w:rPr>
          <w:lang w:eastAsia="ja-JP"/>
        </w:rPr>
      </w:pPr>
    </w:p>
    <w:p w14:paraId="6AB27FD0" w14:textId="77777777" w:rsidR="00F8546E" w:rsidRPr="0011649D" w:rsidRDefault="00F8546E" w:rsidP="00F8546E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lang w:eastAsia="ja-JP"/>
        </w:rPr>
      </w:pPr>
      <w:r>
        <w:rPr>
          <w:rFonts w:ascii="TimesNewRomanPS-ItalicMT" w:hAnsi="TimesNewRomanPS-ItalicMT" w:cs="TimesNewRomanPS-ItalicMT"/>
          <w:i/>
          <w:iCs/>
        </w:rPr>
        <w:t>Basic format for handbooks:</w:t>
      </w:r>
    </w:p>
    <w:p w14:paraId="6AB27FD1" w14:textId="77777777" w:rsidR="00F8546E" w:rsidRDefault="00F8546E" w:rsidP="00F8546E">
      <w:pPr>
        <w:pStyle w:val="References"/>
      </w:pPr>
      <w:r w:rsidRPr="0011649D">
        <w:rPr>
          <w:i/>
        </w:rPr>
        <w:t>Name of Manual/Handbook, x</w:t>
      </w:r>
      <w:r w:rsidRPr="0011649D">
        <w:t xml:space="preserve"> ed., Abbrev. Name of Co., City of Co., Abbrev. State, year, pp. xxx-xxx.</w:t>
      </w:r>
    </w:p>
    <w:p w14:paraId="6AB27FD2" w14:textId="77777777" w:rsidR="00F8546E" w:rsidRDefault="00F8546E" w:rsidP="00F8546E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Examples:</w:t>
      </w:r>
    </w:p>
    <w:p w14:paraId="6AB27FD3" w14:textId="77777777" w:rsidR="00F8546E" w:rsidRDefault="00F8546E" w:rsidP="00F8546E">
      <w:pPr>
        <w:pStyle w:val="References"/>
      </w:pPr>
      <w:r>
        <w:rPr>
          <w:rFonts w:ascii="TimesNewRomanPS-ItalicMT" w:hAnsi="TimesNewRomanPS-ItalicMT" w:cs="TimesNewRomanPS-ItalicMT"/>
          <w:i/>
          <w:iCs/>
        </w:rPr>
        <w:t>Transmission Systems for Communications</w:t>
      </w:r>
      <w:r>
        <w:t>, 3rd ed., Western Electric Co., Winston-Salem, NC, 1985, pp. 44–60.</w:t>
      </w:r>
    </w:p>
    <w:p w14:paraId="6AB27FD4" w14:textId="77777777" w:rsidR="00F8546E" w:rsidRDefault="00F8546E" w:rsidP="00F8546E">
      <w:pPr>
        <w:widowControl w:val="0"/>
        <w:autoSpaceDE w:val="0"/>
        <w:autoSpaceDN w:val="0"/>
        <w:adjustRightInd w:val="0"/>
        <w:spacing w:before="5" w:line="140" w:lineRule="exact"/>
        <w:rPr>
          <w:color w:val="000000"/>
          <w:sz w:val="14"/>
          <w:szCs w:val="14"/>
          <w:lang w:eastAsia="ja-JP"/>
        </w:rPr>
      </w:pPr>
    </w:p>
    <w:p w14:paraId="6AB27FD5" w14:textId="77777777" w:rsidR="00F8546E" w:rsidRDefault="00F8546E" w:rsidP="00F8546E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Basic format for patents (when available online):</w:t>
      </w:r>
    </w:p>
    <w:p w14:paraId="6AB27FD6" w14:textId="77777777" w:rsidR="00F8546E" w:rsidRDefault="00F8546E" w:rsidP="00F8546E">
      <w:pPr>
        <w:pStyle w:val="References"/>
      </w:pPr>
      <w:r>
        <w:t xml:space="preserve">Name of the invention, by inventor’s name. (year, month day). </w:t>
      </w:r>
      <w:r>
        <w:rPr>
          <w:rFonts w:ascii="TimesNewRomanPS-ItalicMT" w:hAnsi="TimesNewRomanPS-ItalicMT" w:cs="TimesNewRomanPS-ItalicMT"/>
          <w:i/>
          <w:iCs/>
        </w:rPr>
        <w:t xml:space="preserve">Patent Number </w:t>
      </w:r>
      <w:r>
        <w:t>[Type of medium]. Available: site/path/file</w:t>
      </w:r>
    </w:p>
    <w:p w14:paraId="6AB27FD7" w14:textId="77777777" w:rsidR="00F8546E" w:rsidRPr="0011649D" w:rsidRDefault="00F8546E" w:rsidP="00F8546E">
      <w:pPr>
        <w:pStyle w:val="References"/>
        <w:numPr>
          <w:ilvl w:val="0"/>
          <w:numId w:val="0"/>
        </w:numPr>
        <w:rPr>
          <w:i/>
          <w:sz w:val="20"/>
          <w:szCs w:val="20"/>
          <w:lang w:eastAsia="ja-JP"/>
        </w:rPr>
      </w:pPr>
      <w:r w:rsidRPr="0011649D">
        <w:rPr>
          <w:i/>
          <w:sz w:val="20"/>
          <w:szCs w:val="20"/>
          <w:lang w:eastAsia="ja-JP"/>
        </w:rPr>
        <w:t>Example:</w:t>
      </w:r>
    </w:p>
    <w:p w14:paraId="6AB27FD8" w14:textId="77777777" w:rsidR="00F8546E" w:rsidRPr="0011649D" w:rsidRDefault="00F8546E" w:rsidP="00F8546E">
      <w:pPr>
        <w:pStyle w:val="References"/>
      </w:pPr>
      <w:r w:rsidRPr="0011649D">
        <w:t>Mu</w:t>
      </w:r>
      <w:r>
        <w:t xml:space="preserve">sical toothbrush with adjustable neck and mirror, by L.M.R. Brooks. (1992, May 19). </w:t>
      </w:r>
      <w:r w:rsidRPr="0011649D">
        <w:rPr>
          <w:rFonts w:ascii="TimesNewRomanPS-ItalicMT" w:hAnsi="TimesNewRomanPS-ItalicMT" w:cs="TimesNewRomanPS-ItalicMT"/>
          <w:i/>
          <w:iCs/>
        </w:rPr>
        <w:t>Patent D 326 189</w:t>
      </w:r>
    </w:p>
    <w:p w14:paraId="6AB27FD9" w14:textId="77777777" w:rsidR="00F8546E" w:rsidRPr="0011649D" w:rsidRDefault="00F8546E" w:rsidP="00F8546E">
      <w:pPr>
        <w:pStyle w:val="References"/>
        <w:numPr>
          <w:ilvl w:val="0"/>
          <w:numId w:val="0"/>
        </w:numPr>
        <w:ind w:left="360"/>
        <w:rPr>
          <w:lang w:eastAsia="ja-JP"/>
        </w:rPr>
      </w:pPr>
      <w:r>
        <w:t>[Online]. Available: NEXIS Library: LEXPAT File: DESIGN</w:t>
      </w:r>
    </w:p>
    <w:p w14:paraId="6AB27FDA" w14:textId="77777777" w:rsidR="00F8546E" w:rsidRDefault="00F8546E" w:rsidP="00F8546E">
      <w:pPr>
        <w:widowControl w:val="0"/>
        <w:autoSpaceDE w:val="0"/>
        <w:autoSpaceDN w:val="0"/>
        <w:adjustRightInd w:val="0"/>
        <w:ind w:right="-20"/>
        <w:rPr>
          <w:rFonts w:ascii="TimesNewRomanPS-ItalicMT" w:hAnsi="TimesNewRomanPS-ItalicMT" w:cs="TimesNewRomanPS-ItalicMT"/>
          <w:i/>
          <w:iCs/>
        </w:rPr>
      </w:pPr>
    </w:p>
    <w:p w14:paraId="6AB27FDB" w14:textId="77777777" w:rsidR="00F8546E" w:rsidRDefault="00F8546E" w:rsidP="00F8546E">
      <w:pPr>
        <w:widowControl w:val="0"/>
        <w:autoSpaceDE w:val="0"/>
        <w:autoSpaceDN w:val="0"/>
        <w:adjustRightInd w:val="0"/>
        <w:ind w:right="-20"/>
        <w:rPr>
          <w:i/>
          <w:iCs/>
          <w:color w:val="000000"/>
          <w:lang w:eastAsia="ja-JP"/>
        </w:rPr>
      </w:pPr>
      <w:r>
        <w:rPr>
          <w:rFonts w:ascii="TimesNewRomanPS-ItalicMT" w:hAnsi="TimesNewRomanPS-ItalicMT" w:cs="TimesNewRomanPS-ItalicMT"/>
          <w:i/>
          <w:iCs/>
        </w:rPr>
        <w:t>Basic format</w:t>
      </w:r>
      <w:r>
        <w:rPr>
          <w:i/>
          <w:iCs/>
          <w:color w:val="000000"/>
        </w:rPr>
        <w:t xml:space="preserve"> for confer</w:t>
      </w:r>
      <w:r>
        <w:rPr>
          <w:i/>
          <w:iCs/>
          <w:color w:val="000000"/>
          <w:spacing w:val="-1"/>
        </w:rPr>
        <w:t>e</w:t>
      </w:r>
      <w:r>
        <w:rPr>
          <w:i/>
          <w:iCs/>
          <w:color w:val="000000"/>
          <w:spacing w:val="1"/>
        </w:rPr>
        <w:t>n</w:t>
      </w:r>
      <w:r>
        <w:rPr>
          <w:i/>
          <w:iCs/>
          <w:color w:val="000000"/>
        </w:rPr>
        <w:t>ce p</w:t>
      </w:r>
      <w:r>
        <w:rPr>
          <w:i/>
          <w:iCs/>
          <w:color w:val="000000"/>
          <w:spacing w:val="-1"/>
        </w:rPr>
        <w:t>r</w:t>
      </w:r>
      <w:r>
        <w:rPr>
          <w:i/>
          <w:iCs/>
          <w:color w:val="000000"/>
        </w:rPr>
        <w:t>oceed</w:t>
      </w:r>
      <w:r>
        <w:rPr>
          <w:i/>
          <w:iCs/>
          <w:color w:val="000000"/>
          <w:spacing w:val="-2"/>
        </w:rPr>
        <w:t>i</w:t>
      </w:r>
      <w:r>
        <w:rPr>
          <w:i/>
          <w:iCs/>
          <w:color w:val="000000"/>
          <w:spacing w:val="1"/>
        </w:rPr>
        <w:t>n</w:t>
      </w:r>
      <w:r>
        <w:rPr>
          <w:i/>
          <w:iCs/>
          <w:color w:val="000000"/>
        </w:rPr>
        <w:t>gs (published</w:t>
      </w:r>
      <w:r>
        <w:rPr>
          <w:i/>
          <w:iCs/>
          <w:color w:val="000000"/>
          <w:spacing w:val="-2"/>
        </w:rPr>
        <w:t>)</w:t>
      </w:r>
      <w:r>
        <w:rPr>
          <w:i/>
          <w:iCs/>
          <w:color w:val="000000"/>
        </w:rPr>
        <w:t>:</w:t>
      </w:r>
    </w:p>
    <w:p w14:paraId="6AB27FDC" w14:textId="77777777" w:rsidR="00F8546E" w:rsidRDefault="00F8546E" w:rsidP="00F8546E">
      <w:pPr>
        <w:pStyle w:val="References"/>
      </w:pPr>
      <w:r w:rsidRPr="0011649D">
        <w:t xml:space="preserve">J. K. Author, “Title of paper,” in </w:t>
      </w:r>
      <w:r w:rsidRPr="0011649D">
        <w:rPr>
          <w:i/>
        </w:rPr>
        <w:t>Abbreviated Name of Conf.</w:t>
      </w:r>
      <w:r w:rsidRPr="0011649D">
        <w:t xml:space="preserve">, City of Conf., Abbrev. State (if given), year, pp. </w:t>
      </w:r>
      <w:proofErr w:type="spellStart"/>
      <w:r w:rsidRPr="0011649D">
        <w:t>xxxxxx</w:t>
      </w:r>
      <w:proofErr w:type="spellEnd"/>
      <w:r w:rsidRPr="0011649D">
        <w:t>.</w:t>
      </w:r>
    </w:p>
    <w:p w14:paraId="6AB27FDD" w14:textId="77777777" w:rsidR="00F8546E" w:rsidRPr="0011649D" w:rsidRDefault="00F8546E" w:rsidP="00F8546E">
      <w:pPr>
        <w:pStyle w:val="References"/>
        <w:numPr>
          <w:ilvl w:val="0"/>
          <w:numId w:val="0"/>
        </w:numPr>
        <w:rPr>
          <w:i/>
          <w:sz w:val="20"/>
          <w:szCs w:val="20"/>
        </w:rPr>
      </w:pPr>
      <w:r w:rsidRPr="0011649D">
        <w:rPr>
          <w:i/>
          <w:sz w:val="20"/>
          <w:szCs w:val="20"/>
        </w:rPr>
        <w:t>Example:</w:t>
      </w:r>
    </w:p>
    <w:p w14:paraId="6AB27FDE" w14:textId="77777777" w:rsidR="00F8546E" w:rsidRDefault="00F8546E" w:rsidP="00F8546E">
      <w:pPr>
        <w:pStyle w:val="References"/>
      </w:pPr>
      <w:r>
        <w:t xml:space="preserve">D. </w:t>
      </w:r>
      <w:r>
        <w:rPr>
          <w:spacing w:val="-1"/>
        </w:rPr>
        <w:t>B</w:t>
      </w:r>
      <w:r>
        <w:t>. Pa</w:t>
      </w:r>
      <w:r>
        <w:rPr>
          <w:spacing w:val="-1"/>
        </w:rPr>
        <w:t>y</w:t>
      </w:r>
      <w:r>
        <w:rPr>
          <w:spacing w:val="1"/>
        </w:rPr>
        <w:t>n</w:t>
      </w:r>
      <w:r>
        <w:t xml:space="preserve">e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J</w:t>
      </w:r>
      <w:r>
        <w:t xml:space="preserve">. </w:t>
      </w:r>
      <w:r>
        <w:rPr>
          <w:spacing w:val="-1"/>
        </w:rPr>
        <w:t>R</w:t>
      </w:r>
      <w:r>
        <w:t>. S</w:t>
      </w:r>
      <w:r>
        <w:rPr>
          <w:spacing w:val="-1"/>
        </w:rPr>
        <w:t>t</w:t>
      </w:r>
      <w:r>
        <w:t>er</w:t>
      </w:r>
      <w:r>
        <w:rPr>
          <w:spacing w:val="-1"/>
        </w:rPr>
        <w:t>n</w:t>
      </w:r>
      <w:r>
        <w:t xml:space="preserve">, </w:t>
      </w:r>
      <w:r>
        <w:rPr>
          <w:spacing w:val="-1"/>
        </w:rPr>
        <w:t>“</w:t>
      </w:r>
      <w:r>
        <w:rPr>
          <w:spacing w:val="2"/>
        </w:rPr>
        <w:t>W</w:t>
      </w:r>
      <w:r>
        <w:t>a</w:t>
      </w:r>
      <w:r>
        <w:rPr>
          <w:spacing w:val="-1"/>
        </w:rPr>
        <w:t>v</w:t>
      </w:r>
      <w:r>
        <w:t>ele</w:t>
      </w:r>
      <w:r>
        <w:rPr>
          <w:spacing w:val="-1"/>
        </w:rPr>
        <w:t>n</w:t>
      </w:r>
      <w:r>
        <w:t>g</w:t>
      </w:r>
      <w:r>
        <w:rPr>
          <w:spacing w:val="-1"/>
        </w:rPr>
        <w:t>th</w:t>
      </w:r>
      <w:r>
        <w:t>-sw</w:t>
      </w:r>
      <w:r>
        <w:rPr>
          <w:spacing w:val="-1"/>
        </w:rPr>
        <w:t>it</w:t>
      </w:r>
      <w:r>
        <w:t>ch</w:t>
      </w:r>
      <w:r>
        <w:rPr>
          <w:spacing w:val="-1"/>
        </w:rPr>
        <w:t>e</w:t>
      </w:r>
      <w:r>
        <w:t>d p</w:t>
      </w:r>
      <w:r>
        <w:rPr>
          <w:spacing w:val="-1"/>
        </w:rPr>
        <w:t>a</w:t>
      </w:r>
      <w:r>
        <w:t xml:space="preserve">s- </w:t>
      </w:r>
      <w:proofErr w:type="spellStart"/>
      <w:r>
        <w:t>s</w:t>
      </w:r>
      <w:r>
        <w:rPr>
          <w:spacing w:val="-1"/>
        </w:rPr>
        <w:t>i</w:t>
      </w:r>
      <w:r>
        <w:t>vely</w:t>
      </w:r>
      <w:proofErr w:type="spellEnd"/>
      <w:r>
        <w:rPr>
          <w:spacing w:val="1"/>
        </w:rPr>
        <w:t xml:space="preserve"> </w:t>
      </w:r>
      <w:r>
        <w:t>cou</w:t>
      </w:r>
      <w:r>
        <w:rPr>
          <w:spacing w:val="1"/>
        </w:rPr>
        <w:t>p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in</w:t>
      </w:r>
      <w:r>
        <w:rPr>
          <w:spacing w:val="1"/>
        </w:rPr>
        <w:t>g</w:t>
      </w:r>
      <w:r>
        <w:t>le-</w:t>
      </w:r>
      <w:r>
        <w:rPr>
          <w:spacing w:val="-2"/>
        </w:rPr>
        <w:t>m</w:t>
      </w:r>
      <w:r>
        <w:t>ode optical</w:t>
      </w:r>
      <w:r>
        <w:rPr>
          <w:spacing w:val="1"/>
        </w:rPr>
        <w:t xml:space="preserve"> </w:t>
      </w:r>
      <w:r>
        <w:t>net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k,”</w:t>
      </w:r>
      <w:r>
        <w:rPr>
          <w:spacing w:val="2"/>
        </w:rPr>
        <w:t xml:space="preserve"> </w:t>
      </w:r>
      <w:r>
        <w:t xml:space="preserve">in </w:t>
      </w:r>
      <w:r>
        <w:rPr>
          <w:i/>
          <w:iCs/>
        </w:rPr>
        <w:t>Pro</w:t>
      </w:r>
      <w:r>
        <w:rPr>
          <w:i/>
          <w:iCs/>
          <w:spacing w:val="-1"/>
        </w:rPr>
        <w:t>c</w:t>
      </w:r>
      <w:r>
        <w:rPr>
          <w:i/>
          <w:iCs/>
        </w:rPr>
        <w:t>. I</w:t>
      </w:r>
      <w:r>
        <w:rPr>
          <w:i/>
          <w:iCs/>
          <w:spacing w:val="-1"/>
        </w:rPr>
        <w:t>O</w:t>
      </w:r>
      <w:r>
        <w:rPr>
          <w:i/>
          <w:iCs/>
        </w:rPr>
        <w:t>OC-E</w:t>
      </w:r>
      <w:r>
        <w:rPr>
          <w:i/>
          <w:iCs/>
          <w:spacing w:val="-2"/>
        </w:rPr>
        <w:t>C</w:t>
      </w:r>
      <w:r>
        <w:rPr>
          <w:i/>
          <w:iCs/>
          <w:spacing w:val="1"/>
        </w:rPr>
        <w:t>O</w:t>
      </w:r>
      <w:r>
        <w:rPr>
          <w:i/>
          <w:iCs/>
        </w:rPr>
        <w:t>C,</w:t>
      </w:r>
      <w:r>
        <w:rPr>
          <w:i/>
          <w:iCs/>
          <w:spacing w:val="-1"/>
        </w:rPr>
        <w:t xml:space="preserve"> </w:t>
      </w:r>
      <w:r>
        <w:rPr>
          <w:spacing w:val="1"/>
        </w:rPr>
        <w:t>1</w:t>
      </w:r>
      <w:r>
        <w:t>98</w:t>
      </w:r>
      <w:r>
        <w:rPr>
          <w:spacing w:val="1"/>
        </w:rPr>
        <w:t>5</w:t>
      </w:r>
      <w:r>
        <w:t>,</w:t>
      </w:r>
      <w:r>
        <w:rPr>
          <w:spacing w:val="-1"/>
        </w:rPr>
        <w:t xml:space="preserve"> </w:t>
      </w:r>
      <w:r>
        <w:rPr>
          <w:spacing w:val="-1"/>
        </w:rPr>
        <w:br/>
      </w:r>
      <w:r>
        <w:t>p</w:t>
      </w:r>
      <w:r>
        <w:rPr>
          <w:spacing w:val="1"/>
        </w:rPr>
        <w:t>p</w:t>
      </w:r>
      <w:r>
        <w:t>.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>8</w:t>
      </w:r>
      <w:r>
        <w:t>5–</w:t>
      </w:r>
      <w:r>
        <w:rPr>
          <w:spacing w:val="1"/>
        </w:rPr>
        <w:t>5</w:t>
      </w:r>
      <w:r>
        <w:t>9</w:t>
      </w:r>
      <w:r>
        <w:rPr>
          <w:spacing w:val="1"/>
        </w:rPr>
        <w:t>0</w:t>
      </w:r>
      <w:r>
        <w:t>.</w:t>
      </w:r>
    </w:p>
    <w:p w14:paraId="6AB27FDF" w14:textId="77777777" w:rsidR="00F8546E" w:rsidRDefault="00F8546E" w:rsidP="00F8546E">
      <w:pPr>
        <w:widowControl w:val="0"/>
        <w:autoSpaceDE w:val="0"/>
        <w:autoSpaceDN w:val="0"/>
        <w:adjustRightInd w:val="0"/>
        <w:spacing w:before="6" w:line="140" w:lineRule="exact"/>
        <w:rPr>
          <w:color w:val="000000"/>
          <w:sz w:val="14"/>
          <w:szCs w:val="14"/>
        </w:rPr>
      </w:pPr>
    </w:p>
    <w:p w14:paraId="6AB27FE0" w14:textId="77777777" w:rsidR="00F8546E" w:rsidRDefault="00F8546E" w:rsidP="00F8546E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Basic format</w:t>
      </w:r>
      <w:r w:rsidRPr="00B47B59"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  <w:spacing w:val="1"/>
        </w:rPr>
        <w:t xml:space="preserve">for </w:t>
      </w:r>
      <w:r>
        <w:rPr>
          <w:i/>
          <w:iCs/>
          <w:color w:val="000000"/>
          <w:spacing w:val="-1"/>
        </w:rPr>
        <w:t>p</w:t>
      </w:r>
      <w:r>
        <w:rPr>
          <w:i/>
          <w:iCs/>
          <w:color w:val="000000"/>
          <w:spacing w:val="1"/>
        </w:rPr>
        <w:t>a</w:t>
      </w:r>
      <w:r>
        <w:rPr>
          <w:i/>
          <w:iCs/>
          <w:color w:val="000000"/>
          <w:spacing w:val="-1"/>
        </w:rPr>
        <w:t>te</w:t>
      </w:r>
      <w:r>
        <w:rPr>
          <w:i/>
          <w:iCs/>
          <w:color w:val="000000"/>
          <w:spacing w:val="1"/>
        </w:rPr>
        <w:t>n</w:t>
      </w:r>
      <w:r>
        <w:rPr>
          <w:i/>
          <w:iCs/>
          <w:color w:val="000000"/>
          <w:spacing w:val="-1"/>
        </w:rPr>
        <w:t>ts</w:t>
      </w:r>
      <w:r>
        <w:rPr>
          <w:rFonts w:ascii="TimesNewRomanPS-ItalicMT" w:hAnsi="TimesNewRomanPS-ItalicMT" w:cs="TimesNewRomanPS-ItalicMT"/>
          <w:i/>
          <w:iCs/>
        </w:rPr>
        <w:t>:</w:t>
      </w:r>
    </w:p>
    <w:p w14:paraId="6AB27FE1" w14:textId="77777777" w:rsidR="00F8546E" w:rsidRDefault="00F8546E" w:rsidP="00F8546E">
      <w:pPr>
        <w:pStyle w:val="References"/>
      </w:pPr>
      <w:r>
        <w:t xml:space="preserve">J. K. Author, “Title of patent,” U.S. Patent </w:t>
      </w:r>
      <w:r>
        <w:rPr>
          <w:rFonts w:ascii="TimesNewRomanPS-ItalicMT" w:hAnsi="TimesNewRomanPS-ItalicMT" w:cs="TimesNewRomanPS-ItalicMT"/>
          <w:i/>
          <w:iCs/>
        </w:rPr>
        <w:t xml:space="preserve">x xxx </w:t>
      </w:r>
      <w:proofErr w:type="spellStart"/>
      <w:r>
        <w:rPr>
          <w:rFonts w:ascii="TimesNewRomanPS-ItalicMT" w:hAnsi="TimesNewRomanPS-ItalicMT" w:cs="TimesNewRomanPS-ItalicMT"/>
          <w:i/>
          <w:iCs/>
        </w:rPr>
        <w:t>xxx</w:t>
      </w:r>
      <w:proofErr w:type="spellEnd"/>
      <w:r>
        <w:t>, Abbrev. Month, day, year.</w:t>
      </w:r>
    </w:p>
    <w:p w14:paraId="6AB27FE2" w14:textId="77777777" w:rsidR="00F8546E" w:rsidRPr="00B47B59" w:rsidRDefault="00F8546E" w:rsidP="00F8546E">
      <w:pPr>
        <w:widowControl w:val="0"/>
        <w:autoSpaceDE w:val="0"/>
        <w:autoSpaceDN w:val="0"/>
        <w:adjustRightInd w:val="0"/>
        <w:ind w:right="-20"/>
        <w:rPr>
          <w:i/>
          <w:color w:val="000000"/>
        </w:rPr>
      </w:pPr>
      <w:r w:rsidRPr="00B47B59">
        <w:rPr>
          <w:rFonts w:ascii="TimesNewRomanPSMT" w:hAnsi="TimesNewRomanPSMT" w:cs="TimesNewRomanPSMT"/>
          <w:i/>
        </w:rPr>
        <w:t>Example:</w:t>
      </w:r>
    </w:p>
    <w:p w14:paraId="6AB27FE3" w14:textId="77777777" w:rsidR="00F8546E" w:rsidRDefault="00F8546E" w:rsidP="00F8546E">
      <w:pPr>
        <w:pStyle w:val="References"/>
      </w:pPr>
      <w:r>
        <w:t xml:space="preserve">G. </w:t>
      </w:r>
      <w:r>
        <w:rPr>
          <w:spacing w:val="-2"/>
        </w:rPr>
        <w:t>B</w:t>
      </w:r>
      <w:r>
        <w:t>randli and M. Di</w:t>
      </w:r>
      <w:r>
        <w:rPr>
          <w:spacing w:val="-1"/>
        </w:rPr>
        <w:t>c</w:t>
      </w:r>
      <w:r>
        <w:rPr>
          <w:spacing w:val="1"/>
        </w:rPr>
        <w:t>k</w:t>
      </w:r>
      <w:r>
        <w:t>, “</w:t>
      </w:r>
      <w:r>
        <w:rPr>
          <w:spacing w:val="1"/>
        </w:rPr>
        <w:t>A</w:t>
      </w:r>
      <w:r>
        <w:t>l</w:t>
      </w:r>
      <w:r>
        <w:rPr>
          <w:spacing w:val="-2"/>
        </w:rPr>
        <w:t>t</w:t>
      </w:r>
      <w:r>
        <w:t>er</w:t>
      </w:r>
      <w:r>
        <w:rPr>
          <w:spacing w:val="1"/>
        </w:rPr>
        <w:t>n</w:t>
      </w:r>
      <w:r>
        <w:t>ating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u</w:t>
      </w:r>
      <w:r>
        <w:t>rrent fed power sup</w:t>
      </w:r>
      <w:r>
        <w:rPr>
          <w:spacing w:val="1"/>
        </w:rPr>
        <w:t>p</w:t>
      </w:r>
      <w:r>
        <w:t>ly,”</w:t>
      </w:r>
      <w:r>
        <w:rPr>
          <w:spacing w:val="-1"/>
        </w:rPr>
        <w:t xml:space="preserve"> </w:t>
      </w:r>
      <w:r>
        <w:rPr>
          <w:spacing w:val="-1"/>
        </w:rPr>
        <w:br/>
      </w:r>
      <w:r>
        <w:t>U</w:t>
      </w:r>
      <w:r>
        <w:rPr>
          <w:spacing w:val="-1"/>
        </w:rPr>
        <w:t>.</w:t>
      </w:r>
      <w:r>
        <w:t>S.</w:t>
      </w:r>
      <w:r>
        <w:rPr>
          <w:spacing w:val="-1"/>
        </w:rPr>
        <w:t xml:space="preserve"> </w:t>
      </w:r>
      <w:r>
        <w:t>Pate</w:t>
      </w:r>
      <w:r>
        <w:rPr>
          <w:spacing w:val="1"/>
        </w:rPr>
        <w:t>n</w:t>
      </w:r>
      <w:r>
        <w:t>t 4 084 2</w:t>
      </w:r>
      <w:r>
        <w:rPr>
          <w:spacing w:val="1"/>
        </w:rPr>
        <w:t>1</w:t>
      </w:r>
      <w:r>
        <w:t>7,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1"/>
        </w:rPr>
        <w:t>v</w:t>
      </w:r>
      <w:r>
        <w:t>.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9</w:t>
      </w:r>
      <w:r>
        <w:rPr>
          <w:spacing w:val="1"/>
        </w:rPr>
        <w:t>7</w:t>
      </w:r>
      <w:r>
        <w:rPr>
          <w:spacing w:val="-1"/>
        </w:rPr>
        <w:t>8</w:t>
      </w:r>
      <w:r>
        <w:t>.</w:t>
      </w:r>
    </w:p>
    <w:p w14:paraId="6AB27FE4" w14:textId="77777777" w:rsidR="00F8546E" w:rsidRDefault="00F8546E" w:rsidP="00F8546E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</w:p>
    <w:p w14:paraId="6AB27FE5" w14:textId="77777777" w:rsidR="00F8546E" w:rsidRDefault="00F8546E" w:rsidP="00F8546E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Basic format for standards:</w:t>
      </w:r>
    </w:p>
    <w:p w14:paraId="6AB27FE6" w14:textId="77777777" w:rsidR="00F8546E" w:rsidRDefault="00F8546E" w:rsidP="00F8546E">
      <w:pPr>
        <w:pStyle w:val="References"/>
      </w:pPr>
      <w:r>
        <w:rPr>
          <w:rFonts w:ascii="TimesNewRomanPS-ItalicMT" w:hAnsi="TimesNewRomanPS-ItalicMT" w:cs="TimesNewRomanPS-ItalicMT"/>
          <w:i/>
          <w:iCs/>
        </w:rPr>
        <w:t>Title of Standard</w:t>
      </w:r>
      <w:r>
        <w:t>, Standard number, date.</w:t>
      </w:r>
    </w:p>
    <w:p w14:paraId="6AB27FE7" w14:textId="77777777" w:rsidR="00F8546E" w:rsidRDefault="00F8546E" w:rsidP="00F8546E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Examples:</w:t>
      </w:r>
    </w:p>
    <w:p w14:paraId="6AB27FE8" w14:textId="77777777" w:rsidR="00F8546E" w:rsidRDefault="00F8546E" w:rsidP="00F8546E">
      <w:pPr>
        <w:pStyle w:val="References"/>
        <w:rPr>
          <w:rFonts w:ascii="TimesNewRomanPSMT" w:hAnsi="TimesNewRomanPSMT" w:cs="TimesNewRomanPSMT"/>
        </w:rPr>
      </w:pPr>
      <w:r>
        <w:t>IEEE Criteria for Class IE Electric Systems</w:t>
      </w:r>
      <w:r>
        <w:rPr>
          <w:rFonts w:ascii="TimesNewRomanPSMT" w:hAnsi="TimesNewRomanPSMT" w:cs="TimesNewRomanPSMT"/>
        </w:rPr>
        <w:t>, IEEE Standard 308, 1969.</w:t>
      </w:r>
    </w:p>
    <w:p w14:paraId="6AB27FE9" w14:textId="77777777" w:rsidR="00813F8F" w:rsidRPr="00813F8F" w:rsidRDefault="00813F8F" w:rsidP="00C82EFA">
      <w:pPr>
        <w:pStyle w:val="ISLH-Content"/>
      </w:pPr>
    </w:p>
    <w:sectPr w:rsidR="00813F8F" w:rsidRPr="00813F8F" w:rsidSect="00434FAA">
      <w:headerReference w:type="default" r:id="rId12"/>
      <w:footerReference w:type="default" r:id="rId13"/>
      <w:type w:val="continuous"/>
      <w:pgSz w:w="11906" w:h="16838"/>
      <w:pgMar w:top="1418" w:right="1134" w:bottom="1418" w:left="1134" w:header="357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8D6C" w14:textId="77777777" w:rsidR="00537C7A" w:rsidRDefault="00537C7A" w:rsidP="00D427E2">
      <w:r>
        <w:separator/>
      </w:r>
    </w:p>
  </w:endnote>
  <w:endnote w:type="continuationSeparator" w:id="0">
    <w:p w14:paraId="01B96B73" w14:textId="77777777" w:rsidR="00537C7A" w:rsidRDefault="00537C7A" w:rsidP="00D4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7FF5" w14:textId="77777777" w:rsidR="00F8546E" w:rsidRDefault="00F8546E">
    <w:pPr>
      <w:pStyle w:val="Footer"/>
      <w:jc w:val="center"/>
    </w:pPr>
  </w:p>
  <w:p w14:paraId="6AB27FF6" w14:textId="77777777" w:rsidR="00F8546E" w:rsidRDefault="00F85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2B059" w14:textId="77777777" w:rsidR="00537C7A" w:rsidRDefault="00537C7A" w:rsidP="00D427E2">
      <w:r>
        <w:separator/>
      </w:r>
    </w:p>
  </w:footnote>
  <w:footnote w:type="continuationSeparator" w:id="0">
    <w:p w14:paraId="436827A9" w14:textId="77777777" w:rsidR="00537C7A" w:rsidRDefault="00537C7A" w:rsidP="00D4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7FF0" w14:textId="77777777" w:rsidR="005A7AC7" w:rsidRDefault="005A7AC7" w:rsidP="00D427E2">
    <w:pPr>
      <w:pStyle w:val="Header"/>
      <w:jc w:val="center"/>
      <w:rPr>
        <w:i/>
        <w:iCs/>
        <w:sz w:val="22"/>
        <w:szCs w:val="28"/>
      </w:rPr>
    </w:pPr>
  </w:p>
  <w:p w14:paraId="6AB27FF1" w14:textId="7A51EE48" w:rsidR="00D427E2" w:rsidRPr="00D427E2" w:rsidRDefault="00D427E2" w:rsidP="00D427E2">
    <w:pPr>
      <w:pStyle w:val="Header"/>
      <w:jc w:val="center"/>
      <w:rPr>
        <w:i/>
        <w:iCs/>
        <w:sz w:val="22"/>
        <w:szCs w:val="28"/>
      </w:rPr>
    </w:pPr>
    <w:r w:rsidRPr="00D427E2">
      <w:rPr>
        <w:i/>
        <w:iCs/>
        <w:sz w:val="22"/>
        <w:szCs w:val="28"/>
      </w:rPr>
      <w:t xml:space="preserve">The </w:t>
    </w:r>
    <w:r w:rsidR="00DB7851">
      <w:rPr>
        <w:i/>
        <w:iCs/>
        <w:sz w:val="22"/>
        <w:szCs w:val="28"/>
      </w:rPr>
      <w:t>8</w:t>
    </w:r>
    <w:r w:rsidR="00434FAA" w:rsidRPr="00434FAA">
      <w:rPr>
        <w:i/>
        <w:iCs/>
        <w:sz w:val="22"/>
        <w:szCs w:val="28"/>
        <w:vertAlign w:val="superscript"/>
      </w:rPr>
      <w:t>th</w:t>
    </w:r>
    <w:r w:rsidR="00434FAA">
      <w:rPr>
        <w:i/>
        <w:iCs/>
        <w:sz w:val="22"/>
        <w:szCs w:val="28"/>
      </w:rPr>
      <w:t xml:space="preserve"> International </w:t>
    </w:r>
    <w:r w:rsidRPr="00D427E2">
      <w:rPr>
        <w:i/>
        <w:iCs/>
        <w:sz w:val="22"/>
        <w:szCs w:val="28"/>
      </w:rPr>
      <w:t>Symposium on Lightning Protection and H</w:t>
    </w:r>
    <w:r w:rsidR="008E5319">
      <w:rPr>
        <w:i/>
        <w:iCs/>
        <w:sz w:val="22"/>
        <w:szCs w:val="28"/>
      </w:rPr>
      <w:t>igh Voltage Engineering (ISLH</w:t>
    </w:r>
    <w:r w:rsidR="00434FAA">
      <w:rPr>
        <w:i/>
        <w:iCs/>
        <w:sz w:val="22"/>
        <w:szCs w:val="28"/>
      </w:rPr>
      <w:t>202</w:t>
    </w:r>
    <w:r w:rsidR="00DB7851">
      <w:rPr>
        <w:i/>
        <w:iCs/>
        <w:sz w:val="22"/>
        <w:szCs w:val="28"/>
      </w:rPr>
      <w:t>4</w:t>
    </w:r>
    <w:r w:rsidR="008E5319">
      <w:rPr>
        <w:i/>
        <w:iCs/>
        <w:sz w:val="22"/>
        <w:szCs w:val="2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7FF2" w14:textId="77777777" w:rsidR="00C82EFA" w:rsidRDefault="00C82EFA" w:rsidP="00C82EFA">
    <w:pPr>
      <w:pStyle w:val="Header"/>
      <w:jc w:val="center"/>
      <w:rPr>
        <w:i/>
        <w:iCs/>
        <w:sz w:val="22"/>
        <w:szCs w:val="28"/>
      </w:rPr>
    </w:pPr>
  </w:p>
  <w:p w14:paraId="6AB27FF3" w14:textId="281C06A6" w:rsidR="00434FAA" w:rsidRPr="00D427E2" w:rsidRDefault="00434FAA" w:rsidP="00434FAA">
    <w:pPr>
      <w:pStyle w:val="Header"/>
      <w:jc w:val="center"/>
      <w:rPr>
        <w:i/>
        <w:iCs/>
        <w:sz w:val="22"/>
        <w:szCs w:val="28"/>
      </w:rPr>
    </w:pPr>
    <w:r w:rsidRPr="00D427E2">
      <w:rPr>
        <w:i/>
        <w:iCs/>
        <w:sz w:val="22"/>
        <w:szCs w:val="28"/>
      </w:rPr>
      <w:t xml:space="preserve">The </w:t>
    </w:r>
    <w:r w:rsidR="00543879">
      <w:rPr>
        <w:i/>
        <w:iCs/>
        <w:sz w:val="22"/>
        <w:szCs w:val="28"/>
      </w:rPr>
      <w:t>8</w:t>
    </w:r>
    <w:r w:rsidRPr="00434FAA">
      <w:rPr>
        <w:i/>
        <w:iCs/>
        <w:sz w:val="22"/>
        <w:szCs w:val="28"/>
        <w:vertAlign w:val="superscript"/>
      </w:rPr>
      <w:t>th</w:t>
    </w:r>
    <w:r>
      <w:rPr>
        <w:i/>
        <w:iCs/>
        <w:sz w:val="22"/>
        <w:szCs w:val="28"/>
      </w:rPr>
      <w:t xml:space="preserve"> International </w:t>
    </w:r>
    <w:r w:rsidRPr="00D427E2">
      <w:rPr>
        <w:i/>
        <w:iCs/>
        <w:sz w:val="22"/>
        <w:szCs w:val="28"/>
      </w:rPr>
      <w:t>Symposium on Lightning Protection and H</w:t>
    </w:r>
    <w:r>
      <w:rPr>
        <w:i/>
        <w:iCs/>
        <w:sz w:val="22"/>
        <w:szCs w:val="28"/>
      </w:rPr>
      <w:t>igh Voltage Engineering (ISLH202</w:t>
    </w:r>
    <w:r w:rsidR="00543879">
      <w:rPr>
        <w:i/>
        <w:iCs/>
        <w:sz w:val="22"/>
        <w:szCs w:val="28"/>
      </w:rPr>
      <w:t>4</w:t>
    </w:r>
    <w:r>
      <w:rPr>
        <w:i/>
        <w:iCs/>
        <w:sz w:val="22"/>
        <w:szCs w:val="28"/>
      </w:rPr>
      <w:t>)</w:t>
    </w:r>
  </w:p>
  <w:p w14:paraId="6AB27FF4" w14:textId="77777777" w:rsidR="00F8546E" w:rsidRPr="00C82EFA" w:rsidRDefault="00F8546E" w:rsidP="00C82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2F820A2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  <w:rPr>
        <w:b w:val="0"/>
      </w:rPr>
    </w:lvl>
    <w:lvl w:ilvl="2">
      <w:start w:val="1"/>
      <w:numFmt w:val="decimal"/>
      <w:pStyle w:val="Heading3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2B1B5BEF"/>
    <w:multiLevelType w:val="hybridMultilevel"/>
    <w:tmpl w:val="48D6B470"/>
    <w:lvl w:ilvl="0" w:tplc="7ACC440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D9F54E7"/>
    <w:multiLevelType w:val="hybridMultilevel"/>
    <w:tmpl w:val="DCA06B4A"/>
    <w:lvl w:ilvl="0" w:tplc="FF10AABE">
      <w:start w:val="1"/>
      <w:numFmt w:val="decimal"/>
      <w:pStyle w:val="ISLH-Bibliography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D5CFD"/>
    <w:multiLevelType w:val="hybridMultilevel"/>
    <w:tmpl w:val="6556F730"/>
    <w:lvl w:ilvl="0" w:tplc="7ACC440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C5431D"/>
    <w:multiLevelType w:val="multilevel"/>
    <w:tmpl w:val="2DBE4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SLH-Subsection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67598756">
    <w:abstractNumId w:val="3"/>
  </w:num>
  <w:num w:numId="2" w16cid:durableId="810170523">
    <w:abstractNumId w:val="5"/>
  </w:num>
  <w:num w:numId="3" w16cid:durableId="863325666">
    <w:abstractNumId w:val="1"/>
  </w:num>
  <w:num w:numId="4" w16cid:durableId="460997148">
    <w:abstractNumId w:val="4"/>
  </w:num>
  <w:num w:numId="5" w16cid:durableId="2137983042">
    <w:abstractNumId w:val="0"/>
  </w:num>
  <w:num w:numId="6" w16cid:durableId="1933002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B38"/>
    <w:rsid w:val="000470A5"/>
    <w:rsid w:val="00062876"/>
    <w:rsid w:val="0007545A"/>
    <w:rsid w:val="000814DD"/>
    <w:rsid w:val="0008785D"/>
    <w:rsid w:val="000B0A56"/>
    <w:rsid w:val="000B2338"/>
    <w:rsid w:val="000E1A68"/>
    <w:rsid w:val="000E63FA"/>
    <w:rsid w:val="000F3A07"/>
    <w:rsid w:val="00101F53"/>
    <w:rsid w:val="001104A7"/>
    <w:rsid w:val="00114EDA"/>
    <w:rsid w:val="00120734"/>
    <w:rsid w:val="00141E91"/>
    <w:rsid w:val="0016114E"/>
    <w:rsid w:val="00165892"/>
    <w:rsid w:val="001942D8"/>
    <w:rsid w:val="001958C2"/>
    <w:rsid w:val="001B54DA"/>
    <w:rsid w:val="001C17C4"/>
    <w:rsid w:val="001F133E"/>
    <w:rsid w:val="001F736B"/>
    <w:rsid w:val="0021339E"/>
    <w:rsid w:val="00235300"/>
    <w:rsid w:val="00254CD1"/>
    <w:rsid w:val="002B4C0D"/>
    <w:rsid w:val="002C5BC6"/>
    <w:rsid w:val="00323CCB"/>
    <w:rsid w:val="00337560"/>
    <w:rsid w:val="00384F22"/>
    <w:rsid w:val="003C2066"/>
    <w:rsid w:val="003F36AB"/>
    <w:rsid w:val="00434FAA"/>
    <w:rsid w:val="004A7906"/>
    <w:rsid w:val="004B35A0"/>
    <w:rsid w:val="0052630E"/>
    <w:rsid w:val="00537C7A"/>
    <w:rsid w:val="00543879"/>
    <w:rsid w:val="00545620"/>
    <w:rsid w:val="00571AE9"/>
    <w:rsid w:val="005818B1"/>
    <w:rsid w:val="00584BF5"/>
    <w:rsid w:val="005905BA"/>
    <w:rsid w:val="005A7AC7"/>
    <w:rsid w:val="005C7C02"/>
    <w:rsid w:val="00627779"/>
    <w:rsid w:val="00645566"/>
    <w:rsid w:val="00645C40"/>
    <w:rsid w:val="00676F0C"/>
    <w:rsid w:val="006D2DE8"/>
    <w:rsid w:val="00707D8B"/>
    <w:rsid w:val="007222E4"/>
    <w:rsid w:val="00737AF1"/>
    <w:rsid w:val="007909D2"/>
    <w:rsid w:val="007D1669"/>
    <w:rsid w:val="007E20C3"/>
    <w:rsid w:val="00813F8F"/>
    <w:rsid w:val="00825096"/>
    <w:rsid w:val="00826971"/>
    <w:rsid w:val="00827B57"/>
    <w:rsid w:val="008502E0"/>
    <w:rsid w:val="00891613"/>
    <w:rsid w:val="008B3A1D"/>
    <w:rsid w:val="008E5319"/>
    <w:rsid w:val="00931D5B"/>
    <w:rsid w:val="0095113E"/>
    <w:rsid w:val="00966B11"/>
    <w:rsid w:val="00982719"/>
    <w:rsid w:val="00991C12"/>
    <w:rsid w:val="009978B0"/>
    <w:rsid w:val="009B0260"/>
    <w:rsid w:val="009B3383"/>
    <w:rsid w:val="009C1F75"/>
    <w:rsid w:val="009C637A"/>
    <w:rsid w:val="009D6154"/>
    <w:rsid w:val="009E2A58"/>
    <w:rsid w:val="00B133D6"/>
    <w:rsid w:val="00B42F41"/>
    <w:rsid w:val="00BA6BD3"/>
    <w:rsid w:val="00BB24A2"/>
    <w:rsid w:val="00BB6884"/>
    <w:rsid w:val="00BB7B54"/>
    <w:rsid w:val="00BC09D0"/>
    <w:rsid w:val="00C17DDA"/>
    <w:rsid w:val="00C24B38"/>
    <w:rsid w:val="00C40F17"/>
    <w:rsid w:val="00C51186"/>
    <w:rsid w:val="00C52A09"/>
    <w:rsid w:val="00C612E9"/>
    <w:rsid w:val="00C7272A"/>
    <w:rsid w:val="00C82EFA"/>
    <w:rsid w:val="00C92549"/>
    <w:rsid w:val="00CA352E"/>
    <w:rsid w:val="00CA5BED"/>
    <w:rsid w:val="00CD0584"/>
    <w:rsid w:val="00CD2717"/>
    <w:rsid w:val="00CF4B65"/>
    <w:rsid w:val="00CF50EF"/>
    <w:rsid w:val="00D11672"/>
    <w:rsid w:val="00D163F9"/>
    <w:rsid w:val="00D427E2"/>
    <w:rsid w:val="00D57EFE"/>
    <w:rsid w:val="00DA2837"/>
    <w:rsid w:val="00DA6647"/>
    <w:rsid w:val="00DB09AD"/>
    <w:rsid w:val="00DB4543"/>
    <w:rsid w:val="00DB7851"/>
    <w:rsid w:val="00DD152E"/>
    <w:rsid w:val="00DD1F6C"/>
    <w:rsid w:val="00DF1C8E"/>
    <w:rsid w:val="00E41961"/>
    <w:rsid w:val="00E5438A"/>
    <w:rsid w:val="00E62C20"/>
    <w:rsid w:val="00E64CBA"/>
    <w:rsid w:val="00E73D57"/>
    <w:rsid w:val="00E80045"/>
    <w:rsid w:val="00E97F65"/>
    <w:rsid w:val="00ED0BC6"/>
    <w:rsid w:val="00EE7CE0"/>
    <w:rsid w:val="00EF3868"/>
    <w:rsid w:val="00F64B50"/>
    <w:rsid w:val="00F65D84"/>
    <w:rsid w:val="00F8546E"/>
    <w:rsid w:val="00FA7D4A"/>
    <w:rsid w:val="00FD1AB9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27F42"/>
  <w15:docId w15:val="{76DA01DF-DF36-46B2-B4E9-4DCDEEA6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D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46E"/>
    <w:pPr>
      <w:keepNext/>
      <w:numPr>
        <w:numId w:val="5"/>
      </w:numPr>
      <w:spacing w:before="240" w:after="80"/>
      <w:jc w:val="center"/>
      <w:outlineLvl w:val="0"/>
    </w:pPr>
    <w:rPr>
      <w:smallCaps/>
      <w:kern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F8546E"/>
    <w:pPr>
      <w:keepNext/>
      <w:numPr>
        <w:ilvl w:val="1"/>
        <w:numId w:val="5"/>
      </w:numPr>
      <w:spacing w:before="120" w:after="60"/>
      <w:outlineLvl w:val="1"/>
    </w:pPr>
    <w:rPr>
      <w:i/>
      <w:iCs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F8546E"/>
    <w:pPr>
      <w:keepNext/>
      <w:numPr>
        <w:ilvl w:val="2"/>
        <w:numId w:val="5"/>
      </w:numPr>
      <w:outlineLvl w:val="2"/>
    </w:pPr>
    <w:rPr>
      <w:i/>
      <w:iCs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F8546E"/>
    <w:pPr>
      <w:keepNext/>
      <w:numPr>
        <w:ilvl w:val="3"/>
        <w:numId w:val="5"/>
      </w:numPr>
      <w:spacing w:before="240" w:after="60"/>
      <w:outlineLvl w:val="3"/>
    </w:pPr>
    <w:rPr>
      <w:i/>
      <w:iCs/>
      <w:sz w:val="18"/>
      <w:szCs w:val="18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8546E"/>
    <w:pPr>
      <w:numPr>
        <w:ilvl w:val="4"/>
        <w:numId w:val="5"/>
      </w:numPr>
      <w:spacing w:before="240" w:after="60"/>
      <w:outlineLvl w:val="4"/>
    </w:pPr>
    <w:rPr>
      <w:sz w:val="18"/>
      <w:szCs w:val="18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F8546E"/>
    <w:pPr>
      <w:numPr>
        <w:ilvl w:val="5"/>
        <w:numId w:val="5"/>
      </w:numPr>
      <w:spacing w:before="240" w:after="60"/>
      <w:outlineLvl w:val="5"/>
    </w:pPr>
    <w:rPr>
      <w:i/>
      <w:iCs/>
      <w:sz w:val="16"/>
      <w:szCs w:val="16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F8546E"/>
    <w:pPr>
      <w:numPr>
        <w:ilvl w:val="6"/>
        <w:numId w:val="5"/>
      </w:numPr>
      <w:spacing w:before="240" w:after="60"/>
      <w:outlineLvl w:val="6"/>
    </w:pPr>
    <w:rPr>
      <w:sz w:val="16"/>
      <w:szCs w:val="16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F8546E"/>
    <w:pPr>
      <w:numPr>
        <w:ilvl w:val="7"/>
        <w:numId w:val="5"/>
      </w:numPr>
      <w:spacing w:before="240" w:after="60"/>
      <w:outlineLvl w:val="7"/>
    </w:pPr>
    <w:rPr>
      <w:i/>
      <w:iCs/>
      <w:sz w:val="16"/>
      <w:szCs w:val="16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F8546E"/>
    <w:pPr>
      <w:numPr>
        <w:ilvl w:val="8"/>
        <w:numId w:val="5"/>
      </w:numPr>
      <w:spacing w:before="240" w:after="60"/>
      <w:outlineLvl w:val="8"/>
    </w:pPr>
    <w:rPr>
      <w:sz w:val="16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11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951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customStyle="1" w:styleId="ISLH-Title">
    <w:name w:val="ISLH-Title"/>
    <w:basedOn w:val="ISLH-Content"/>
    <w:next w:val="ISLH-Content"/>
    <w:link w:val="ISLH-Title0"/>
    <w:qFormat/>
    <w:rsid w:val="00E5438A"/>
    <w:pPr>
      <w:jc w:val="center"/>
    </w:pPr>
    <w:rPr>
      <w:b/>
      <w:bCs/>
      <w:sz w:val="24"/>
      <w:szCs w:val="24"/>
    </w:rPr>
  </w:style>
  <w:style w:type="paragraph" w:customStyle="1" w:styleId="ISLH-Bibliography">
    <w:name w:val="ISLH-Bibliography"/>
    <w:basedOn w:val="ISLH-Content"/>
    <w:link w:val="ISLH-Bibliography0"/>
    <w:qFormat/>
    <w:rsid w:val="000E1A68"/>
    <w:pPr>
      <w:numPr>
        <w:numId w:val="1"/>
      </w:numPr>
      <w:ind w:left="357" w:hanging="357"/>
    </w:pPr>
  </w:style>
  <w:style w:type="paragraph" w:customStyle="1" w:styleId="ISLH-Content">
    <w:name w:val="ISLH-Content"/>
    <w:basedOn w:val="Normal"/>
    <w:link w:val="ISLH-Content0"/>
    <w:qFormat/>
    <w:rsid w:val="007D1669"/>
    <w:pPr>
      <w:jc w:val="both"/>
    </w:pPr>
  </w:style>
  <w:style w:type="character" w:customStyle="1" w:styleId="ISLH-Content0">
    <w:name w:val="ISLH-Content อักขระ"/>
    <w:basedOn w:val="DefaultParagraphFont"/>
    <w:link w:val="ISLH-Content"/>
    <w:rsid w:val="007D1669"/>
    <w:rPr>
      <w:rFonts w:ascii="Times New Roman" w:hAnsi="Times New Roman" w:cs="Times New Roman"/>
      <w:sz w:val="20"/>
      <w:szCs w:val="20"/>
    </w:rPr>
  </w:style>
  <w:style w:type="character" w:customStyle="1" w:styleId="ISLH-Bibliography0">
    <w:name w:val="ISLH-Bibliography อักขระ"/>
    <w:basedOn w:val="ISLH-Content0"/>
    <w:link w:val="ISLH-Bibliography"/>
    <w:rsid w:val="000E1A68"/>
    <w:rPr>
      <w:rFonts w:ascii="Times New Roman" w:hAnsi="Times New Roman" w:cs="Times New Roman"/>
      <w:sz w:val="20"/>
      <w:szCs w:val="20"/>
    </w:rPr>
  </w:style>
  <w:style w:type="paragraph" w:customStyle="1" w:styleId="ISLH-Author">
    <w:name w:val="ISLH-Author"/>
    <w:basedOn w:val="ISLH-Content"/>
    <w:next w:val="ISLH-Affiliate"/>
    <w:link w:val="ISLH-Author0"/>
    <w:qFormat/>
    <w:rsid w:val="00E5438A"/>
    <w:pPr>
      <w:jc w:val="center"/>
    </w:pPr>
    <w:rPr>
      <w:b/>
    </w:rPr>
  </w:style>
  <w:style w:type="character" w:customStyle="1" w:styleId="ISLH-Title0">
    <w:name w:val="ISLH-Title อักขระ"/>
    <w:basedOn w:val="ISLH-Content0"/>
    <w:link w:val="ISLH-Title"/>
    <w:rsid w:val="00E5438A"/>
    <w:rPr>
      <w:rFonts w:ascii="Times New Roman" w:hAnsi="Times New Roman" w:cs="Times New Roman"/>
      <w:b/>
      <w:bCs/>
      <w:sz w:val="24"/>
      <w:szCs w:val="24"/>
    </w:rPr>
  </w:style>
  <w:style w:type="paragraph" w:customStyle="1" w:styleId="ISLH-Affiliate">
    <w:name w:val="ISLH-Affiliate"/>
    <w:basedOn w:val="ISLH-Content"/>
    <w:link w:val="ISLH-Affiliate0"/>
    <w:qFormat/>
    <w:rsid w:val="00545620"/>
    <w:pPr>
      <w:jc w:val="center"/>
    </w:pPr>
  </w:style>
  <w:style w:type="character" w:customStyle="1" w:styleId="ISLH-Author0">
    <w:name w:val="ISLH-Author อักขระ"/>
    <w:basedOn w:val="ISLH-Content0"/>
    <w:link w:val="ISLH-Author"/>
    <w:rsid w:val="00E5438A"/>
    <w:rPr>
      <w:rFonts w:ascii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133E"/>
    <w:rPr>
      <w:color w:val="0000FF" w:themeColor="hyperlink"/>
      <w:u w:val="single"/>
    </w:rPr>
  </w:style>
  <w:style w:type="character" w:customStyle="1" w:styleId="ISLH-Affiliate0">
    <w:name w:val="ISLH-Affiliate อักขระ"/>
    <w:basedOn w:val="ISLH-Content0"/>
    <w:link w:val="ISLH-Affiliate"/>
    <w:rsid w:val="00545620"/>
    <w:rPr>
      <w:rFonts w:ascii="Times New Roman" w:hAnsi="Times New Roman" w:cs="Times New Roman"/>
      <w:sz w:val="20"/>
      <w:szCs w:val="20"/>
    </w:rPr>
  </w:style>
  <w:style w:type="paragraph" w:customStyle="1" w:styleId="ISLH-Section">
    <w:name w:val="ISLH-Section"/>
    <w:basedOn w:val="ISLH-Content"/>
    <w:next w:val="ISLH-Content"/>
    <w:link w:val="ISLH-Section0"/>
    <w:qFormat/>
    <w:rsid w:val="003C2066"/>
    <w:rPr>
      <w:b/>
      <w:bCs/>
      <w:sz w:val="22"/>
      <w:szCs w:val="22"/>
    </w:rPr>
  </w:style>
  <w:style w:type="character" w:customStyle="1" w:styleId="ISLH-Section0">
    <w:name w:val="ISLH-Section อักขระ"/>
    <w:basedOn w:val="ISLH-Content0"/>
    <w:link w:val="ISLH-Section"/>
    <w:rsid w:val="003C2066"/>
    <w:rPr>
      <w:rFonts w:ascii="Times New Roman" w:hAnsi="Times New Roman" w:cs="Times New Roman"/>
      <w:b/>
      <w:bCs/>
      <w:sz w:val="20"/>
      <w:szCs w:val="22"/>
    </w:rPr>
  </w:style>
  <w:style w:type="paragraph" w:customStyle="1" w:styleId="ISLH-Subsection">
    <w:name w:val="ISLH-Subsection"/>
    <w:basedOn w:val="ISLH-Section"/>
    <w:next w:val="ISLH-Content"/>
    <w:qFormat/>
    <w:rsid w:val="00BB7B54"/>
    <w:pPr>
      <w:numPr>
        <w:ilvl w:val="1"/>
        <w:numId w:val="2"/>
      </w:numPr>
    </w:pPr>
  </w:style>
  <w:style w:type="table" w:styleId="TableGrid">
    <w:name w:val="Table Grid"/>
    <w:basedOn w:val="TableNormal"/>
    <w:uiPriority w:val="59"/>
    <w:rsid w:val="0064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LH-Table">
    <w:name w:val="ISLH-Table"/>
    <w:basedOn w:val="ISLH-Content"/>
    <w:link w:val="ISLH-Table0"/>
    <w:qFormat/>
    <w:rsid w:val="00B133D6"/>
    <w:pPr>
      <w:jc w:val="center"/>
    </w:pPr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B0A56"/>
    <w:pPr>
      <w:spacing w:after="200"/>
    </w:pPr>
    <w:rPr>
      <w:rFonts w:cs="Angsana New"/>
      <w:b/>
      <w:bCs/>
      <w:color w:val="4F81BD" w:themeColor="accent1"/>
      <w:sz w:val="18"/>
      <w:szCs w:val="22"/>
    </w:rPr>
  </w:style>
  <w:style w:type="character" w:customStyle="1" w:styleId="ISLH-Table0">
    <w:name w:val="ISLH-Table อักขระ"/>
    <w:basedOn w:val="ISLH-Content0"/>
    <w:link w:val="ISLH-Table"/>
    <w:rsid w:val="00B133D6"/>
    <w:rPr>
      <w:rFonts w:ascii="Times New Roman" w:hAnsi="Times New Roman" w:cs="Times New Roman"/>
      <w:sz w:val="18"/>
      <w:szCs w:val="18"/>
    </w:rPr>
  </w:style>
  <w:style w:type="paragraph" w:customStyle="1" w:styleId="ISLH-Caption">
    <w:name w:val="ISLH-Caption"/>
    <w:basedOn w:val="ISLH-Content"/>
    <w:next w:val="ISLH-Content"/>
    <w:link w:val="ISLH-Caption0"/>
    <w:qFormat/>
    <w:rsid w:val="00120734"/>
    <w:pPr>
      <w:keepNext/>
    </w:pPr>
    <w:rPr>
      <w:noProof/>
      <w:sz w:val="16"/>
      <w:szCs w:val="16"/>
    </w:rPr>
  </w:style>
  <w:style w:type="paragraph" w:customStyle="1" w:styleId="ISLH-ContentAfterTable">
    <w:name w:val="ISLH-ContentAfterTable"/>
    <w:basedOn w:val="ISLH-Content"/>
    <w:next w:val="ISLH-Content"/>
    <w:link w:val="ISLH-ContentAfterTable0"/>
    <w:qFormat/>
    <w:rsid w:val="0016114E"/>
    <w:pPr>
      <w:spacing w:before="240"/>
    </w:pPr>
  </w:style>
  <w:style w:type="character" w:customStyle="1" w:styleId="ISLH-Caption0">
    <w:name w:val="ISLH-Caption อักขระ"/>
    <w:basedOn w:val="ISLH-Content0"/>
    <w:link w:val="ISLH-Caption"/>
    <w:rsid w:val="00120734"/>
    <w:rPr>
      <w:rFonts w:ascii="Times New Roman" w:hAnsi="Times New Roman" w:cs="Times New Roman"/>
      <w:noProof/>
      <w:sz w:val="16"/>
      <w:szCs w:val="16"/>
    </w:rPr>
  </w:style>
  <w:style w:type="paragraph" w:customStyle="1" w:styleId="ISLH-SectionAfterTable">
    <w:name w:val="ISLH-SectionAfterTable"/>
    <w:basedOn w:val="ISLH-Section"/>
    <w:next w:val="ISLH-Content"/>
    <w:link w:val="ISLH-SectionAfterTable0"/>
    <w:qFormat/>
    <w:rsid w:val="0052630E"/>
    <w:pPr>
      <w:spacing w:before="240"/>
    </w:pPr>
  </w:style>
  <w:style w:type="character" w:customStyle="1" w:styleId="ISLH-ContentAfterTable0">
    <w:name w:val="ISLH-ContentAfterTable อักขระ"/>
    <w:basedOn w:val="ISLH-Content0"/>
    <w:link w:val="ISLH-ContentAfterTable"/>
    <w:rsid w:val="0016114E"/>
    <w:rPr>
      <w:rFonts w:ascii="Times New Roman" w:hAnsi="Times New Roman" w:cs="Times New Roman"/>
      <w:sz w:val="20"/>
      <w:szCs w:val="20"/>
    </w:rPr>
  </w:style>
  <w:style w:type="character" w:customStyle="1" w:styleId="ISLH-SectionAfterTable0">
    <w:name w:val="ISLH-SectionAfterTable อักขระ"/>
    <w:basedOn w:val="ISLH-Section0"/>
    <w:link w:val="ISLH-SectionAfterTable"/>
    <w:rsid w:val="0052630E"/>
    <w:rPr>
      <w:rFonts w:ascii="Times New Roman" w:hAnsi="Times New Roman" w:cs="Times New Roman"/>
      <w:b/>
      <w:bCs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571A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AE9"/>
    <w:rPr>
      <w:rFonts w:ascii="Tahoma" w:hAnsi="Tahoma" w:cs="Angsana New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AE9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427E2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D427E2"/>
    <w:rPr>
      <w:rFonts w:ascii="Times New Roman" w:hAnsi="Times New Roman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D427E2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D427E2"/>
    <w:rPr>
      <w:rFonts w:ascii="Times New Roman" w:hAnsi="Times New Roman" w:cs="Angsana New"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F8546E"/>
    <w:rPr>
      <w:rFonts w:ascii="Times New Roman" w:hAnsi="Times New Roman" w:cs="Times New Roman"/>
      <w:smallCaps/>
      <w:kern w:val="28"/>
      <w:sz w:val="20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8546E"/>
    <w:rPr>
      <w:rFonts w:ascii="Times New Roman" w:hAnsi="Times New Roman" w:cs="Times New Roman"/>
      <w:i/>
      <w:i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8546E"/>
    <w:rPr>
      <w:rFonts w:ascii="Times New Roman" w:hAnsi="Times New Roman" w:cs="Times New Roman"/>
      <w:i/>
      <w:iCs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8546E"/>
    <w:rPr>
      <w:rFonts w:ascii="Times New Roman" w:hAnsi="Times New Roman" w:cs="Times New Roman"/>
      <w:i/>
      <w:iCs/>
      <w:sz w:val="18"/>
      <w:szCs w:val="1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F8546E"/>
    <w:rPr>
      <w:rFonts w:ascii="Times New Roman" w:hAnsi="Times New Roman" w:cs="Times New Roman"/>
      <w:sz w:val="18"/>
      <w:szCs w:val="18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rsid w:val="00F8546E"/>
    <w:rPr>
      <w:rFonts w:ascii="Times New Roman" w:hAnsi="Times New Roman" w:cs="Times New Roman"/>
      <w:i/>
      <w:iCs/>
      <w:sz w:val="16"/>
      <w:szCs w:val="16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F8546E"/>
    <w:rPr>
      <w:rFonts w:ascii="Times New Roman" w:hAnsi="Times New Roman" w:cs="Times New Roman"/>
      <w:sz w:val="16"/>
      <w:szCs w:val="16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F8546E"/>
    <w:rPr>
      <w:rFonts w:ascii="Times New Roman" w:hAnsi="Times New Roman" w:cs="Times New Roman"/>
      <w:i/>
      <w:iCs/>
      <w:sz w:val="16"/>
      <w:szCs w:val="16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rsid w:val="00F8546E"/>
    <w:rPr>
      <w:rFonts w:ascii="Times New Roman" w:hAnsi="Times New Roman" w:cs="Times New Roman"/>
      <w:sz w:val="16"/>
      <w:szCs w:val="16"/>
      <w:lang w:bidi="ar-SA"/>
    </w:rPr>
  </w:style>
  <w:style w:type="character" w:customStyle="1" w:styleId="BodyText2">
    <w:name w:val="Body Text2"/>
    <w:basedOn w:val="DefaultParagraphFont"/>
    <w:uiPriority w:val="99"/>
    <w:rsid w:val="00F8546E"/>
    <w:rPr>
      <w:rFonts w:ascii="Verdana" w:hAnsi="Verdana" w:cs="Verdana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F8546E"/>
    <w:pPr>
      <w:ind w:firstLine="202"/>
      <w:jc w:val="both"/>
    </w:pPr>
    <w:rPr>
      <w:sz w:val="16"/>
      <w:szCs w:val="16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F8546E"/>
    <w:rPr>
      <w:rFonts w:ascii="Times New Roman" w:hAnsi="Times New Roman" w:cs="Times New Roman"/>
      <w:sz w:val="16"/>
      <w:szCs w:val="16"/>
      <w:lang w:bidi="ar-SA"/>
    </w:rPr>
  </w:style>
  <w:style w:type="paragraph" w:customStyle="1" w:styleId="TableTitle">
    <w:name w:val="Table Title"/>
    <w:basedOn w:val="Normal"/>
    <w:rsid w:val="00F8546E"/>
    <w:pPr>
      <w:jc w:val="center"/>
    </w:pPr>
    <w:rPr>
      <w:smallCaps/>
      <w:sz w:val="16"/>
      <w:szCs w:val="16"/>
      <w:lang w:bidi="ar-SA"/>
    </w:rPr>
  </w:style>
  <w:style w:type="paragraph" w:customStyle="1" w:styleId="Text">
    <w:name w:val="Text"/>
    <w:basedOn w:val="Normal"/>
    <w:rsid w:val="00F8546E"/>
    <w:pPr>
      <w:widowControl w:val="0"/>
      <w:spacing w:line="252" w:lineRule="auto"/>
      <w:ind w:firstLine="202"/>
      <w:jc w:val="both"/>
    </w:pPr>
    <w:rPr>
      <w:lang w:bidi="ar-SA"/>
    </w:rPr>
  </w:style>
  <w:style w:type="paragraph" w:customStyle="1" w:styleId="ReferenceHead">
    <w:name w:val="Reference Head"/>
    <w:basedOn w:val="Heading1"/>
    <w:link w:val="ReferenceHeadChar"/>
    <w:rsid w:val="00F8546E"/>
    <w:pPr>
      <w:numPr>
        <w:numId w:val="0"/>
      </w:numPr>
    </w:pPr>
  </w:style>
  <w:style w:type="paragraph" w:customStyle="1" w:styleId="Style1">
    <w:name w:val="Style1"/>
    <w:basedOn w:val="ReferenceHead"/>
    <w:link w:val="Style1Char"/>
    <w:qFormat/>
    <w:rsid w:val="00F8546E"/>
  </w:style>
  <w:style w:type="character" w:customStyle="1" w:styleId="ReferenceHeadChar">
    <w:name w:val="Reference Head Char"/>
    <w:basedOn w:val="Heading1Char"/>
    <w:link w:val="ReferenceHead"/>
    <w:rsid w:val="00F8546E"/>
    <w:rPr>
      <w:rFonts w:ascii="Times New Roman" w:hAnsi="Times New Roman" w:cs="Times New Roman"/>
      <w:smallCaps/>
      <w:kern w:val="28"/>
      <w:sz w:val="20"/>
      <w:szCs w:val="20"/>
      <w:lang w:bidi="ar-SA"/>
    </w:rPr>
  </w:style>
  <w:style w:type="character" w:customStyle="1" w:styleId="Style1Char">
    <w:name w:val="Style1 Char"/>
    <w:basedOn w:val="ReferenceHeadChar"/>
    <w:link w:val="Style1"/>
    <w:rsid w:val="00F8546E"/>
    <w:rPr>
      <w:rFonts w:ascii="Times New Roman" w:hAnsi="Times New Roman" w:cs="Times New Roman"/>
      <w:smallCaps/>
      <w:kern w:val="28"/>
      <w:sz w:val="20"/>
      <w:szCs w:val="20"/>
      <w:lang w:bidi="ar-SA"/>
    </w:rPr>
  </w:style>
  <w:style w:type="paragraph" w:customStyle="1" w:styleId="References">
    <w:name w:val="References"/>
    <w:basedOn w:val="Normal"/>
    <w:rsid w:val="00F8546E"/>
    <w:pPr>
      <w:numPr>
        <w:numId w:val="6"/>
      </w:numPr>
      <w:jc w:val="both"/>
    </w:pPr>
    <w:rPr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phong@elec.kku.ac.t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braryguides.vu.edu.au/ieeereferencing/gettingstarted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n%20Ya%20Vee\AppData\Local\Temp\Temp1_EECON37_Eng_Template.zip\EECON37_Eng_Template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09686-E118-4ACB-BD3D-7DB07F03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EECON37_Eng_Template</Template>
  <TotalTime>31</TotalTime>
  <Pages>2</Pages>
  <Words>1221</Words>
  <Characters>6964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KhonKaen University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 Ya Vee</dc:creator>
  <cp:lastModifiedBy>Punyavee Chaisiri</cp:lastModifiedBy>
  <cp:revision>10</cp:revision>
  <cp:lastPrinted>2018-09-20T05:02:00Z</cp:lastPrinted>
  <dcterms:created xsi:type="dcterms:W3CDTF">2018-09-20T05:02:00Z</dcterms:created>
  <dcterms:modified xsi:type="dcterms:W3CDTF">2023-12-22T05:05:00Z</dcterms:modified>
</cp:coreProperties>
</file>